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6078"/>
      </w:tblGrid>
      <w:tr>
        <w:trPr>
          <w:trHeight w:val="1183"/>
        </w:trPr>
        <w:tc>
          <w:tcPr>
            <w:tcW w:w="3261" w:type="dxa"/>
            <w:tcBorders>
              <w:top w:val="nil"/>
              <w:left w:val="nil"/>
              <w:bottom w:val="nil"/>
              <w:right w:val="nil"/>
            </w:tcBorders>
          </w:tcPr>
          <w:p>
            <w:pPr>
              <w:spacing w:before="0"/>
              <w:rPr>
                <w:b/>
                <w:bCs/>
                <w:color w:val="000000" w:themeColor="text1"/>
                <w:sz w:val="26"/>
                <w:szCs w:val="26"/>
              </w:rPr>
            </w:pPr>
            <w:r>
              <w:rPr>
                <w:b/>
                <w:bCs/>
                <w:color w:val="000000" w:themeColor="text1"/>
                <w:sz w:val="26"/>
                <w:szCs w:val="26"/>
              </w:rPr>
              <w:t>ỦY BAN NHÂN DÂN</w:t>
            </w:r>
          </w:p>
          <w:p>
            <w:pPr>
              <w:spacing w:before="0"/>
              <w:rPr>
                <w:b/>
                <w:bCs/>
                <w:color w:val="000000" w:themeColor="text1"/>
                <w:sz w:val="26"/>
                <w:szCs w:val="26"/>
              </w:rPr>
            </w:pPr>
            <w:r>
              <w:rPr>
                <w:b/>
                <w:bCs/>
                <w:color w:val="000000" w:themeColor="text1"/>
                <w:sz w:val="26"/>
                <w:szCs w:val="26"/>
              </w:rPr>
              <w:t>XÃ SƠN TIẾN</w:t>
            </w:r>
          </w:p>
          <w:p>
            <w:pPr>
              <w:spacing w:before="0"/>
              <w:rPr>
                <w:b/>
                <w:bCs/>
                <w:color w:val="000000" w:themeColor="text1"/>
                <w:szCs w:val="28"/>
              </w:rPr>
            </w:pPr>
            <w:r>
              <w:rPr>
                <w:b/>
                <w:bCs/>
                <w:noProof/>
                <w:color w:val="000000" w:themeColor="text1"/>
                <w:sz w:val="26"/>
                <w:szCs w:val="26"/>
              </w:rPr>
              <mc:AlternateContent>
                <mc:Choice Requires="wps">
                  <w:drawing>
                    <wp:anchor distT="0" distB="0" distL="114300" distR="114300" simplePos="0" relativeHeight="251660288" behindDoc="0" locked="0" layoutInCell="1" allowOverlap="1">
                      <wp:simplePos x="0" y="0"/>
                      <wp:positionH relativeFrom="column">
                        <wp:posOffset>666750</wp:posOffset>
                      </wp:positionH>
                      <wp:positionV relativeFrom="paragraph">
                        <wp:posOffset>10160</wp:posOffset>
                      </wp:positionV>
                      <wp:extent cx="621665"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621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D6F7C8"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52.5pt,.8pt" to="101.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" strokecolor="black [3200]" strokeweight=".5pt">
                      <v:stroke joinstyle="miter"/>
                    </v:line>
                  </w:pict>
                </mc:Fallback>
              </mc:AlternateContent>
            </w:r>
          </w:p>
          <w:p>
            <w:pPr>
              <w:spacing w:before="0"/>
              <w:rPr>
                <w:color w:val="000000" w:themeColor="text1"/>
                <w:sz w:val="26"/>
                <w:szCs w:val="26"/>
              </w:rPr>
            </w:pPr>
            <w:r>
              <w:rPr>
                <w:color w:val="000000" w:themeColor="text1"/>
                <w:sz w:val="26"/>
                <w:szCs w:val="26"/>
              </w:rPr>
              <w:t xml:space="preserve">Số:        /BC-UBND  </w:t>
            </w:r>
          </w:p>
        </w:tc>
        <w:tc>
          <w:tcPr>
            <w:tcW w:w="6078" w:type="dxa"/>
            <w:tcBorders>
              <w:top w:val="nil"/>
              <w:left w:val="nil"/>
              <w:bottom w:val="nil"/>
              <w:right w:val="nil"/>
            </w:tcBorders>
          </w:tcPr>
          <w:p>
            <w:pPr>
              <w:spacing w:before="0"/>
              <w:rPr>
                <w:b/>
                <w:bCs/>
                <w:color w:val="000000" w:themeColor="text1"/>
                <w:sz w:val="26"/>
                <w:szCs w:val="26"/>
              </w:rPr>
            </w:pPr>
            <w:r>
              <w:rPr>
                <w:b/>
                <w:bCs/>
                <w:color w:val="000000" w:themeColor="text1"/>
                <w:sz w:val="26"/>
                <w:szCs w:val="26"/>
              </w:rPr>
              <w:t>CỘNG HÒA XÃ HỘI CHỦ NGHĨA VIỆT NAM</w:t>
            </w:r>
          </w:p>
          <w:p>
            <w:pPr>
              <w:spacing w:before="0"/>
              <w:rPr>
                <w:b/>
                <w:bCs/>
                <w:color w:val="000000" w:themeColor="text1"/>
                <w:szCs w:val="28"/>
              </w:rPr>
            </w:pPr>
            <w:r>
              <w:rPr>
                <w:b/>
                <w:bCs/>
                <w:color w:val="000000" w:themeColor="text1"/>
                <w:szCs w:val="28"/>
              </w:rPr>
              <w:t>Độc lập - Tự do - Hạnh phúc</w:t>
            </w:r>
          </w:p>
          <w:p>
            <w:pPr>
              <w:spacing w:before="0"/>
              <w:rPr>
                <w:b/>
                <w:bCs/>
                <w:color w:val="000000" w:themeColor="text1"/>
                <w:szCs w:val="28"/>
              </w:rPr>
            </w:pPr>
            <w:r>
              <w:rPr>
                <w:noProof/>
                <w:color w:val="000000" w:themeColor="text1"/>
                <w:szCs w:val="28"/>
              </w:rPr>
              <mc:AlternateContent>
                <mc:Choice Requires="wps">
                  <w:drawing>
                    <wp:anchor distT="0" distB="0" distL="114300" distR="114300" simplePos="0" relativeHeight="251659264" behindDoc="0" locked="0" layoutInCell="1" allowOverlap="1">
                      <wp:simplePos x="0" y="0"/>
                      <wp:positionH relativeFrom="column">
                        <wp:posOffset>762000</wp:posOffset>
                      </wp:positionH>
                      <wp:positionV relativeFrom="paragraph">
                        <wp:posOffset>13970</wp:posOffset>
                      </wp:positionV>
                      <wp:extent cx="2199005" cy="0"/>
                      <wp:effectExtent l="0" t="0" r="29845" b="19050"/>
                      <wp:wrapNone/>
                      <wp:docPr id="3" name="Straight Connector 3"/>
                      <wp:cNvGraphicFramePr/>
                      <a:graphic xmlns:a="http://schemas.openxmlformats.org/drawingml/2006/main">
                        <a:graphicData uri="http://schemas.microsoft.com/office/word/2010/wordprocessingShape">
                          <wps:wsp>
                            <wps:cNvCnPr/>
                            <wps:spPr>
                              <a:xfrm>
                                <a:off x="0" y="0"/>
                                <a:ext cx="219900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psCustomData="http://www.wps.cn/officeDocument/2013/wpsCustomData"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_x0000_s1026" o:spid="_x0000_s1026" o:spt="20" style="position:absolute;left:0pt;margin-left:60pt;margin-top:1.1pt;height:0pt;width:173.15pt;z-index:251659264;mso-width-relative:page;mso-height-relative:page;" filled="f" stroked="t" coordsize="21600,21600" o:gfxdata="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oB6Wo0gAAAAcBAAAP&#10;AAAAAAAAAAEAIAAAACIAAABkcnMvZG93bnJldi54bWxQSwECFAAUAAAACACHTuJAKtwWTeUBAADW&#10;AwAADgAAAAAAAAABACAAAAAhAQAAZHJzL2Uyb0RvYy54bWxQSwUGAAAAAAYABgBZAQAAeAUAAAAA&#10;">
                      <v:fill on="f" focussize="0,0"/>
                      <v:stroke weight="0.5pt" color="#000000" miterlimit="8" joinstyle="miter"/>
                      <v:imagedata o:title=""/>
                      <o:lock v:ext="edit" aspectratio="f"/>
                    </v:line>
                  </w:pict>
                </mc:Fallback>
              </mc:AlternateContent>
            </w:r>
          </w:p>
          <w:p>
            <w:pPr>
              <w:spacing w:before="0"/>
              <w:rPr>
                <w:bCs/>
                <w:i/>
                <w:color w:val="000000" w:themeColor="text1"/>
                <w:szCs w:val="28"/>
              </w:rPr>
            </w:pPr>
            <w:r>
              <w:rPr>
                <w:bCs/>
                <w:i/>
                <w:color w:val="000000" w:themeColor="text1"/>
                <w:szCs w:val="28"/>
              </w:rPr>
              <w:t>Sơn Tiến, ngày      tháng 10 năm 2026</w:t>
            </w:r>
          </w:p>
        </w:tc>
      </w:tr>
    </w:tbl>
    <w:p>
      <w:pPr>
        <w:spacing w:before="0"/>
        <w:jc w:val="both"/>
        <w:rPr>
          <w:b/>
          <w:bCs/>
          <w:color w:val="000000" w:themeColor="text1"/>
          <w:szCs w:val="28"/>
        </w:rPr>
      </w:pPr>
    </w:p>
    <w:p>
      <w:pPr>
        <w:pStyle w:val="Heading1"/>
        <w:rPr>
          <w:rFonts w:ascii="Times New Roman" w:hAnsi="Times New Roman"/>
          <w:color w:val="000000" w:themeColor="text1"/>
          <w:szCs w:val="28"/>
        </w:rPr>
      </w:pPr>
      <w:r>
        <w:rPr>
          <w:rFonts w:ascii="Times New Roman" w:hAnsi="Times New Roman"/>
          <w:color w:val="000000" w:themeColor="text1"/>
          <w:szCs w:val="28"/>
        </w:rPr>
        <w:t>BÁO CÁO</w:t>
      </w:r>
    </w:p>
    <w:p>
      <w:pPr>
        <w:pStyle w:val="NormalWeb"/>
        <w:spacing w:before="0" w:beforeAutospacing="0" w:after="0" w:afterAutospacing="0"/>
        <w:jc w:val="center"/>
        <w:rPr>
          <w:color w:val="000000" w:themeColor="text1"/>
          <w:sz w:val="28"/>
          <w:szCs w:val="28"/>
        </w:rPr>
      </w:pPr>
      <w:r>
        <w:rPr>
          <w:rStyle w:val="Strong"/>
          <w:color w:val="000000" w:themeColor="text1"/>
          <w:sz w:val="28"/>
          <w:szCs w:val="28"/>
        </w:rPr>
        <w:t>Kết quả công tác phổ biến, giáo dục pháp luật năm 2026</w:t>
      </w:r>
    </w:p>
    <w:p>
      <w:pPr>
        <w:pStyle w:val="NormalWeb"/>
        <w:spacing w:before="0" w:beforeAutospacing="0" w:after="0" w:afterAutospacing="0"/>
        <w:jc w:val="center"/>
        <w:rPr>
          <w:i/>
          <w:iCs/>
          <w:color w:val="000000" w:themeColor="text1"/>
          <w:sz w:val="28"/>
          <w:szCs w:val="28"/>
        </w:rPr>
      </w:pPr>
      <w:r>
        <w:rPr>
          <w:rStyle w:val="Emphasis"/>
          <w:color w:val="000000" w:themeColor="text1"/>
          <w:sz w:val="28"/>
          <w:szCs w:val="28"/>
        </w:rPr>
        <w:t>(Thời gian báo cáo: Từ ngày 01/01/2026 đến hết ngày 15/10/2026)</w:t>
      </w:r>
    </w:p>
    <w:p>
      <w:pPr>
        <w:pStyle w:val="NormalWeb"/>
        <w:spacing w:before="0" w:beforeAutospacing="0" w:after="0" w:afterAutospacing="0"/>
        <w:jc w:val="both"/>
        <w:rPr>
          <w:rStyle w:val="Strong"/>
          <w:color w:val="000000" w:themeColor="text1"/>
          <w:sz w:val="28"/>
          <w:szCs w:val="28"/>
        </w:rPr>
      </w:pPr>
      <w:r>
        <w:rPr>
          <w:b/>
          <w:bCs/>
          <w:noProof/>
          <w:color w:val="000000" w:themeColor="text1"/>
          <w:sz w:val="28"/>
          <w:szCs w:val="28"/>
        </w:rPr>
        <mc:AlternateContent>
          <mc:Choice Requires="wps">
            <w:drawing>
              <wp:anchor distT="0" distB="0" distL="114300" distR="114300" simplePos="0" relativeHeight="251661312" behindDoc="0" locked="0" layoutInCell="1" allowOverlap="1">
                <wp:simplePos x="0" y="0"/>
                <wp:positionH relativeFrom="column">
                  <wp:posOffset>2072640</wp:posOffset>
                </wp:positionH>
                <wp:positionV relativeFrom="paragraph">
                  <wp:posOffset>-2540</wp:posOffset>
                </wp:positionV>
                <wp:extent cx="15240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524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3.2pt,-.2pt" to="283.2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" strokecolor="black [3200]" strokeweight=".5pt">
                <v:stroke joinstyle="miter"/>
              </v:line>
            </w:pict>
          </mc:Fallback>
        </mc:AlternateContent>
      </w:r>
      <w:r>
        <w:rPr>
          <w:rStyle w:val="Strong"/>
          <w:color w:val="000000" w:themeColor="text1"/>
          <w:sz w:val="28"/>
          <w:szCs w:val="28"/>
        </w:rPr>
        <w:tab/>
      </w:r>
      <w:r>
        <w:rPr>
          <w:rStyle w:val="Strong"/>
          <w:color w:val="000000" w:themeColor="text1"/>
          <w:sz w:val="28"/>
          <w:szCs w:val="28"/>
        </w:rPr>
        <w:tab/>
      </w:r>
      <w:r>
        <w:rPr>
          <w:rStyle w:val="Strong"/>
          <w:color w:val="000000" w:themeColor="text1"/>
          <w:sz w:val="28"/>
          <w:szCs w:val="28"/>
        </w:rPr>
        <w:tab/>
      </w:r>
    </w:p>
    <w:p>
      <w:pPr>
        <w:pStyle w:val="NormalWeb"/>
        <w:spacing w:before="0" w:beforeAutospacing="0" w:after="0" w:afterAutospacing="0"/>
        <w:ind w:left="1440" w:firstLine="720"/>
        <w:jc w:val="both"/>
        <w:rPr>
          <w:color w:val="000000" w:themeColor="text1"/>
          <w:sz w:val="28"/>
          <w:szCs w:val="28"/>
        </w:rPr>
      </w:pPr>
      <w:r>
        <w:rPr>
          <w:rStyle w:val="Strong"/>
          <w:b w:val="0"/>
          <w:color w:val="000000" w:themeColor="text1"/>
          <w:sz w:val="28"/>
          <w:szCs w:val="28"/>
        </w:rPr>
        <w:t>Kính gửi:</w:t>
      </w:r>
      <w:r>
        <w:rPr>
          <w:color w:val="000000" w:themeColor="text1"/>
          <w:sz w:val="28"/>
          <w:szCs w:val="28"/>
        </w:rPr>
        <w:t xml:space="preserve"> Sở Tư pháp tỉnh Hà Tĩnh</w:t>
      </w:r>
    </w:p>
    <w:p>
      <w:pPr>
        <w:pStyle w:val="NormalWeb"/>
        <w:spacing w:before="0" w:beforeAutospacing="0" w:after="0" w:afterAutospacing="0"/>
        <w:ind w:left="1440" w:firstLine="720"/>
        <w:jc w:val="both"/>
        <w:rPr>
          <w:color w:val="000000" w:themeColor="text1"/>
          <w:sz w:val="28"/>
          <w:szCs w:val="28"/>
        </w:rPr>
      </w:pPr>
    </w:p>
    <w:p>
      <w:pPr>
        <w:pStyle w:val="NormalWeb"/>
        <w:spacing w:before="0" w:beforeAutospacing="0" w:after="120" w:afterAutospacing="0"/>
        <w:jc w:val="both"/>
        <w:rPr>
          <w:color w:val="000000" w:themeColor="text1"/>
          <w:sz w:val="28"/>
          <w:szCs w:val="28"/>
        </w:rPr>
      </w:pPr>
      <w:r>
        <w:rPr>
          <w:color w:val="000000" w:themeColor="text1"/>
          <w:sz w:val="28"/>
          <w:szCs w:val="28"/>
        </w:rPr>
        <w:tab/>
        <w:t>Thực hiện Văn bản số 2780/STP-PC&amp;PBGDPL ngày 13/10/2026 của Sở Tư pháp tỉnh Hà Tĩnh về việc báo cáo kết quả công tác phổ biến, giáo dục pháp luật năm 2026, Ủy ban nhân dân xã Sơn Tiến báo cáo kết quả thực hiện từ ngày 01/01/2026 đến hết ngày 15/10/2026 như sau:</w:t>
      </w:r>
    </w:p>
    <w:p>
      <w:pPr>
        <w:pStyle w:val="Heading1"/>
        <w:spacing w:after="120"/>
        <w:jc w:val="both"/>
        <w:rPr>
          <w:rFonts w:ascii="Times New Roman" w:hAnsi="Times New Roman"/>
          <w:color w:val="000000" w:themeColor="text1"/>
          <w:sz w:val="26"/>
          <w:szCs w:val="28"/>
        </w:rPr>
      </w:pPr>
      <w:r>
        <w:rPr>
          <w:rFonts w:ascii="Times New Roman" w:hAnsi="Times New Roman"/>
          <w:color w:val="000000" w:themeColor="text1"/>
          <w:sz w:val="26"/>
          <w:szCs w:val="28"/>
        </w:rPr>
        <w:tab/>
        <w:t>I. CÔNG TÁC CHỈ ĐẠO, ĐIỀU HÀNH</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1. Công tác ban hành văn bản chỉ đạo, triển khai thực hiện</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Trong thời gian qua, UBND xã Sơn Tiến đã quan tâm lãnh đạo, chỉ đạo triển khai thực hiện công tác phổ biến, giáo dục pháp luật (PBGDPL), xác định đây là nhiệm vụ thường xuyên, có ý nghĩa quan trọng trong việc nâng cao nhận thức, ý thức chấp hành pháp luật của cán bộ, công chức và Nhân dân; góp phần </w:t>
      </w:r>
      <w:proofErr w:type="gramStart"/>
      <w:r>
        <w:rPr>
          <w:color w:val="000000" w:themeColor="text1"/>
          <w:sz w:val="28"/>
          <w:szCs w:val="28"/>
        </w:rPr>
        <w:t>giữ</w:t>
      </w:r>
      <w:proofErr w:type="gramEnd"/>
      <w:r>
        <w:rPr>
          <w:color w:val="000000" w:themeColor="text1"/>
          <w:sz w:val="28"/>
          <w:szCs w:val="28"/>
        </w:rPr>
        <w:t xml:space="preserve"> vững an ninh chính trị, trật tự, an toàn xã hội, nâng cao hiệu quả quản lý nhà nước và thực hiện các nhiệm vụ phát triển kinh tế - xã hội tại địa phương.</w:t>
      </w:r>
    </w:p>
    <w:p>
      <w:pPr>
        <w:pStyle w:val="NormalWeb"/>
        <w:spacing w:before="0" w:beforeAutospacing="0" w:after="120" w:afterAutospacing="0"/>
        <w:jc w:val="both"/>
        <w:rPr>
          <w:color w:val="000000" w:themeColor="text1"/>
          <w:sz w:val="28"/>
          <w:szCs w:val="28"/>
        </w:rPr>
      </w:pPr>
      <w:r>
        <w:rPr>
          <w:color w:val="000000" w:themeColor="text1"/>
          <w:sz w:val="28"/>
          <w:szCs w:val="28"/>
        </w:rPr>
        <w:tab/>
        <w:t>Căn cứ các chủ trương của Đảng, chính sách, pháp luật của Nhà nước, chương trình, kế hoạch của UBND tỉnh Hà Tĩnh, Hội đồng phối hợp PBGDPL tỉnh và cơ quan có thẩm quyền, UBND xã đã chỉ đạo bộ phận chuyên môn tham mưu xây dựng, ban hành và tổ chức triển khai các kế hoạch, văn bản về PBGDPL, hòa giải ở cơ sở, xây dựng cấp xã đạt chuẩn tiếp cận pháp luật và các nhiệm vụ pháp luật có liên quan.</w:t>
      </w:r>
    </w:p>
    <w:p>
      <w:pPr>
        <w:pStyle w:val="NormalWeb"/>
        <w:spacing w:before="0" w:beforeAutospacing="0" w:after="120" w:afterAutospacing="0"/>
        <w:jc w:val="both"/>
        <w:rPr>
          <w:color w:val="000000" w:themeColor="text1"/>
          <w:sz w:val="28"/>
          <w:szCs w:val="28"/>
        </w:rPr>
      </w:pPr>
      <w:r>
        <w:rPr>
          <w:color w:val="000000" w:themeColor="text1"/>
          <w:sz w:val="28"/>
          <w:szCs w:val="28"/>
        </w:rPr>
        <w:tab/>
        <w:t>Nội dung chỉ đạo tập trung vào việc tuyên truyền, phổ biến kịp thời các văn bản pháp luật mới ban hành; các quy định liên quan trực tiếp đến quyền, lợi ích hợp pháp của người dân; nâng cao chất lượng tuyên truyền pháp luật tại cơ sở; phát huy vai trò của đội ngũ tuyên truyền viên pháp luật, hòa giải viên và các tổ chức đoàn thể trong vận động Nhân dân chấp hành pháp luật.</w:t>
      </w:r>
    </w:p>
    <w:p>
      <w:pPr>
        <w:pStyle w:val="NormalWeb"/>
        <w:spacing w:before="0" w:beforeAutospacing="0" w:after="120" w:afterAutospacing="0"/>
        <w:jc w:val="both"/>
        <w:rPr>
          <w:color w:val="000000" w:themeColor="text1"/>
          <w:sz w:val="28"/>
          <w:szCs w:val="28"/>
        </w:rPr>
      </w:pPr>
      <w:r>
        <w:rPr>
          <w:color w:val="000000" w:themeColor="text1"/>
          <w:sz w:val="28"/>
          <w:szCs w:val="28"/>
        </w:rPr>
        <w:tab/>
        <w:t>Các văn bản chỉ đạo, triển khai công tác PBGDPL trong kỳ báo cáo gồm:</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Kế hoạch số 22/KH-UBND ngày 06/02/2026 của UBND xã về việc thực hiện nhiệm vụ Tư pháp năm 2026.</w:t>
      </w:r>
      <w:proofErr w:type="gramEnd"/>
    </w:p>
    <w:p>
      <w:pPr>
        <w:pStyle w:val="NormalWeb"/>
        <w:spacing w:before="0" w:beforeAutospacing="0" w:after="120" w:afterAutospacing="0"/>
        <w:jc w:val="both"/>
        <w:rPr>
          <w:color w:val="000000" w:themeColor="text1"/>
          <w:sz w:val="28"/>
          <w:szCs w:val="28"/>
          <w:lang w:val="nl-NL"/>
        </w:rPr>
      </w:pPr>
      <w:r>
        <w:rPr>
          <w:color w:val="000000" w:themeColor="text1"/>
          <w:sz w:val="28"/>
          <w:szCs w:val="28"/>
        </w:rPr>
        <w:tab/>
        <w:t>Quyết định số 20/QĐ-UBND ngày 09/4/2026 của UBND xã về phân công </w:t>
      </w:r>
      <w:r>
        <w:rPr>
          <w:color w:val="000000" w:themeColor="text1"/>
          <w:sz w:val="28"/>
          <w:szCs w:val="28"/>
          <w:lang w:val="nl-NL"/>
        </w:rPr>
        <w:t>cán bộ, công chức, viên chức phụ trách, theo dõi thực hiện các tiêu chí, chỉ tiêu xây dựng xã Sơn Tiến đạt chuẩn tiếp cận pháp luật năm 2026.</w:t>
      </w:r>
    </w:p>
    <w:p>
      <w:pPr>
        <w:pStyle w:val="NormalWeb"/>
        <w:spacing w:before="0" w:beforeAutospacing="0" w:after="120" w:afterAutospacing="0"/>
        <w:jc w:val="both"/>
        <w:rPr>
          <w:color w:val="000000" w:themeColor="text1"/>
          <w:sz w:val="28"/>
          <w:szCs w:val="28"/>
          <w:lang w:val="nl-NL"/>
        </w:rPr>
      </w:pPr>
      <w:r>
        <w:rPr>
          <w:color w:val="000000" w:themeColor="text1"/>
          <w:sz w:val="28"/>
          <w:szCs w:val="28"/>
          <w:lang w:val="nl-NL"/>
        </w:rPr>
        <w:tab/>
        <w:t>Kế hoạch số 01/KH-HĐPH ngày 22/6/2026 của Hội đồng Phối hợp PBGDPL về Kế hoạch hoạt động của Hội đồng Phối hợp PBGDPL xã.</w:t>
      </w:r>
    </w:p>
    <w:p>
      <w:pPr>
        <w:spacing w:before="0" w:after="120"/>
        <w:jc w:val="both"/>
        <w:rPr>
          <w:color w:val="000000" w:themeColor="text1"/>
          <w:szCs w:val="28"/>
        </w:rPr>
      </w:pPr>
      <w:r>
        <w:rPr>
          <w:color w:val="000000" w:themeColor="text1"/>
          <w:szCs w:val="28"/>
          <w:lang w:val="nl-NL"/>
        </w:rPr>
        <w:lastRenderedPageBreak/>
        <w:tab/>
        <w:t>Công</w:t>
      </w:r>
      <w:r>
        <w:rPr>
          <w:color w:val="000000" w:themeColor="text1"/>
          <w:szCs w:val="28"/>
          <w:lang w:val="vi-VN"/>
        </w:rPr>
        <w:t xml:space="preserve"> văn số 39/UBND ngày 05/01/2026 về việc </w:t>
      </w:r>
      <w:r>
        <w:rPr>
          <w:color w:val="000000" w:themeColor="text1"/>
          <w:szCs w:val="28"/>
        </w:rPr>
        <w:t>hướng dẫn thực hiện công</w:t>
      </w:r>
    </w:p>
    <w:p>
      <w:pPr>
        <w:spacing w:before="0" w:after="120"/>
        <w:jc w:val="both"/>
        <w:rPr>
          <w:color w:val="000000" w:themeColor="text1"/>
          <w:szCs w:val="28"/>
        </w:rPr>
      </w:pPr>
      <w:proofErr w:type="gramStart"/>
      <w:r>
        <w:rPr>
          <w:color w:val="000000" w:themeColor="text1"/>
          <w:szCs w:val="28"/>
        </w:rPr>
        <w:t>tác</w:t>
      </w:r>
      <w:proofErr w:type="gramEnd"/>
      <w:r>
        <w:rPr>
          <w:color w:val="000000" w:themeColor="text1"/>
          <w:szCs w:val="28"/>
        </w:rPr>
        <w:t xml:space="preserve"> phổ biến, giáo dục pháp luật </w:t>
      </w:r>
      <w:r>
        <w:rPr>
          <w:color w:val="000000" w:themeColor="text1"/>
          <w:szCs w:val="28"/>
          <w:lang w:val="vi-VN"/>
        </w:rPr>
        <w:t xml:space="preserve"> </w:t>
      </w:r>
      <w:r>
        <w:rPr>
          <w:color w:val="000000" w:themeColor="text1"/>
          <w:szCs w:val="28"/>
        </w:rPr>
        <w:t>Quý I năm 2026</w:t>
      </w:r>
    </w:p>
    <w:p>
      <w:pPr>
        <w:spacing w:before="0" w:after="120"/>
        <w:ind w:firstLine="720"/>
        <w:jc w:val="both"/>
        <w:rPr>
          <w:color w:val="000000" w:themeColor="text1"/>
          <w:szCs w:val="28"/>
        </w:rPr>
      </w:pPr>
      <w:r>
        <w:rPr>
          <w:color w:val="000000" w:themeColor="text1"/>
          <w:szCs w:val="28"/>
          <w:lang w:val="nl-NL"/>
        </w:rPr>
        <w:t>Công</w:t>
      </w:r>
      <w:r>
        <w:rPr>
          <w:color w:val="000000" w:themeColor="text1"/>
          <w:szCs w:val="28"/>
          <w:lang w:val="vi-VN"/>
        </w:rPr>
        <w:t xml:space="preserve"> văn số 485/UBND ngày 10/02/2026 về việc </w:t>
      </w:r>
      <w:r>
        <w:rPr>
          <w:color w:val="000000" w:themeColor="text1"/>
          <w:szCs w:val="28"/>
        </w:rPr>
        <w:t>hướng dẫn thực hiện công</w:t>
      </w:r>
      <w:r>
        <w:rPr>
          <w:color w:val="000000" w:themeColor="text1"/>
          <w:szCs w:val="28"/>
          <w:lang w:val="vi-VN"/>
        </w:rPr>
        <w:t xml:space="preserve"> </w:t>
      </w:r>
      <w:r>
        <w:rPr>
          <w:color w:val="000000" w:themeColor="text1"/>
          <w:szCs w:val="28"/>
        </w:rPr>
        <w:t xml:space="preserve">tác phổ biến, giáo dục pháp luật </w:t>
      </w:r>
      <w:r>
        <w:rPr>
          <w:color w:val="000000" w:themeColor="text1"/>
          <w:szCs w:val="28"/>
          <w:lang w:val="vi-VN"/>
        </w:rPr>
        <w:t xml:space="preserve"> </w:t>
      </w:r>
      <w:r>
        <w:rPr>
          <w:color w:val="000000" w:themeColor="text1"/>
          <w:szCs w:val="28"/>
        </w:rPr>
        <w:t>Quý II năm 2026</w:t>
      </w:r>
    </w:p>
    <w:p>
      <w:pPr>
        <w:spacing w:before="0" w:after="120"/>
        <w:jc w:val="both"/>
        <w:rPr>
          <w:color w:val="000000" w:themeColor="text1"/>
          <w:szCs w:val="28"/>
        </w:rPr>
      </w:pPr>
      <w:r>
        <w:rPr>
          <w:color w:val="000000" w:themeColor="text1"/>
          <w:szCs w:val="28"/>
        </w:rPr>
        <w:tab/>
      </w:r>
      <w:r>
        <w:rPr>
          <w:color w:val="000000" w:themeColor="text1"/>
          <w:szCs w:val="28"/>
          <w:lang w:val="nl-NL"/>
        </w:rPr>
        <w:t>Công</w:t>
      </w:r>
      <w:r>
        <w:rPr>
          <w:color w:val="000000" w:themeColor="text1"/>
          <w:szCs w:val="28"/>
          <w:lang w:val="vi-VN"/>
        </w:rPr>
        <w:t xml:space="preserve"> văn số 1428/UBND ngày 06/08/2026 về việc </w:t>
      </w:r>
      <w:r>
        <w:rPr>
          <w:color w:val="000000" w:themeColor="text1"/>
          <w:szCs w:val="28"/>
        </w:rPr>
        <w:t>hướng dẫn thực hiện công</w:t>
      </w:r>
      <w:r>
        <w:rPr>
          <w:color w:val="000000" w:themeColor="text1"/>
          <w:szCs w:val="28"/>
          <w:lang w:val="vi-VN"/>
        </w:rPr>
        <w:t xml:space="preserve"> </w:t>
      </w:r>
      <w:r>
        <w:rPr>
          <w:color w:val="000000" w:themeColor="text1"/>
          <w:szCs w:val="28"/>
        </w:rPr>
        <w:t xml:space="preserve">tác phổ biến, giáo dục pháp luật </w:t>
      </w:r>
      <w:r>
        <w:rPr>
          <w:color w:val="000000" w:themeColor="text1"/>
          <w:szCs w:val="28"/>
          <w:lang w:val="vi-VN"/>
        </w:rPr>
        <w:t xml:space="preserve"> </w:t>
      </w:r>
      <w:r>
        <w:rPr>
          <w:color w:val="000000" w:themeColor="text1"/>
          <w:szCs w:val="28"/>
        </w:rPr>
        <w:t>tháng</w:t>
      </w:r>
      <w:r>
        <w:rPr>
          <w:color w:val="000000" w:themeColor="text1"/>
          <w:szCs w:val="28"/>
          <w:lang w:val="vi-VN"/>
        </w:rPr>
        <w:t xml:space="preserve"> 8 </w:t>
      </w:r>
      <w:r>
        <w:rPr>
          <w:color w:val="000000" w:themeColor="text1"/>
          <w:szCs w:val="28"/>
        </w:rPr>
        <w:t>năm 2026</w:t>
      </w:r>
    </w:p>
    <w:p>
      <w:pPr>
        <w:spacing w:before="0" w:after="120"/>
        <w:jc w:val="both"/>
        <w:rPr>
          <w:color w:val="000000" w:themeColor="text1"/>
          <w:szCs w:val="28"/>
        </w:rPr>
      </w:pPr>
      <w:r>
        <w:rPr>
          <w:color w:val="000000" w:themeColor="text1"/>
          <w:szCs w:val="28"/>
        </w:rPr>
        <w:tab/>
      </w:r>
      <w:r>
        <w:rPr>
          <w:color w:val="000000" w:themeColor="text1"/>
          <w:szCs w:val="28"/>
          <w:lang w:val="nl-NL"/>
        </w:rPr>
        <w:t>Công</w:t>
      </w:r>
      <w:r>
        <w:rPr>
          <w:color w:val="000000" w:themeColor="text1"/>
          <w:szCs w:val="28"/>
          <w:lang w:val="vi-VN"/>
        </w:rPr>
        <w:t xml:space="preserve"> văn số 1438/UBND ngày 02/09/2026 về việc </w:t>
      </w:r>
      <w:r>
        <w:rPr>
          <w:color w:val="000000" w:themeColor="text1"/>
          <w:szCs w:val="28"/>
        </w:rPr>
        <w:t>hướng dẫn triển khai thực hiện nhiệm vụ trọng tâm công tác phổ biến, giáo dục pháp luật những tháng cuối năm 2026</w:t>
      </w:r>
      <w:r>
        <w:rPr>
          <w:color w:val="000000" w:themeColor="text1"/>
          <w:szCs w:val="28"/>
        </w:rPr>
        <w:tab/>
      </w:r>
    </w:p>
    <w:p>
      <w:pPr>
        <w:spacing w:before="0" w:after="120"/>
        <w:ind w:firstLine="720"/>
        <w:jc w:val="both"/>
        <w:rPr>
          <w:color w:val="000000" w:themeColor="text1"/>
          <w:szCs w:val="28"/>
        </w:rPr>
      </w:pPr>
      <w:r>
        <w:rPr>
          <w:color w:val="000000" w:themeColor="text1"/>
          <w:szCs w:val="28"/>
          <w:lang w:val="nl-NL"/>
        </w:rPr>
        <w:t>Công</w:t>
      </w:r>
      <w:r>
        <w:rPr>
          <w:color w:val="000000" w:themeColor="text1"/>
          <w:szCs w:val="28"/>
          <w:lang w:val="vi-VN"/>
        </w:rPr>
        <w:t xml:space="preserve"> văn số 1570/UBND ngày 14/09/2026 về việc </w:t>
      </w:r>
      <w:r>
        <w:rPr>
          <w:color w:val="000000" w:themeColor="text1"/>
          <w:szCs w:val="28"/>
        </w:rPr>
        <w:t>hướng dẫn thực hiện công</w:t>
      </w:r>
      <w:r>
        <w:rPr>
          <w:color w:val="000000" w:themeColor="text1"/>
          <w:szCs w:val="28"/>
          <w:lang w:val="vi-VN"/>
        </w:rPr>
        <w:t xml:space="preserve"> </w:t>
      </w:r>
      <w:r>
        <w:rPr>
          <w:color w:val="000000" w:themeColor="text1"/>
          <w:szCs w:val="28"/>
        </w:rPr>
        <w:t xml:space="preserve">tác phổ biến, giáo dục pháp luật </w:t>
      </w:r>
      <w:r>
        <w:rPr>
          <w:color w:val="000000" w:themeColor="text1"/>
          <w:szCs w:val="28"/>
          <w:lang w:val="vi-VN"/>
        </w:rPr>
        <w:t xml:space="preserve"> </w:t>
      </w:r>
      <w:r>
        <w:rPr>
          <w:color w:val="000000" w:themeColor="text1"/>
          <w:szCs w:val="28"/>
        </w:rPr>
        <w:t>tháng</w:t>
      </w:r>
      <w:r>
        <w:rPr>
          <w:color w:val="000000" w:themeColor="text1"/>
          <w:szCs w:val="28"/>
          <w:lang w:val="vi-VN"/>
        </w:rPr>
        <w:t xml:space="preserve"> 9 </w:t>
      </w:r>
      <w:r>
        <w:rPr>
          <w:color w:val="000000" w:themeColor="text1"/>
          <w:szCs w:val="28"/>
        </w:rPr>
        <w:t>năm 2026</w:t>
      </w:r>
    </w:p>
    <w:p>
      <w:pPr>
        <w:spacing w:before="0" w:after="120"/>
        <w:jc w:val="both"/>
        <w:rPr>
          <w:color w:val="000000" w:themeColor="text1"/>
          <w:szCs w:val="28"/>
        </w:rPr>
      </w:pPr>
      <w:r>
        <w:rPr>
          <w:color w:val="000000" w:themeColor="text1"/>
          <w:szCs w:val="28"/>
        </w:rPr>
        <w:tab/>
      </w:r>
      <w:r>
        <w:rPr>
          <w:color w:val="000000" w:themeColor="text1"/>
          <w:szCs w:val="28"/>
          <w:lang w:val="nl-NL"/>
        </w:rPr>
        <w:t>Công</w:t>
      </w:r>
      <w:r>
        <w:rPr>
          <w:color w:val="000000" w:themeColor="text1"/>
          <w:szCs w:val="28"/>
          <w:lang w:val="vi-VN"/>
        </w:rPr>
        <w:t xml:space="preserve"> văn số 1691/UBND ngày 01/10/2026 về việc </w:t>
      </w:r>
      <w:r>
        <w:rPr>
          <w:color w:val="000000" w:themeColor="text1"/>
          <w:szCs w:val="28"/>
        </w:rPr>
        <w:t>hướng dẫn thực hiện công</w:t>
      </w:r>
      <w:r>
        <w:rPr>
          <w:color w:val="000000" w:themeColor="text1"/>
          <w:szCs w:val="28"/>
          <w:lang w:val="vi-VN"/>
        </w:rPr>
        <w:t xml:space="preserve"> </w:t>
      </w:r>
      <w:r>
        <w:rPr>
          <w:color w:val="000000" w:themeColor="text1"/>
          <w:szCs w:val="28"/>
        </w:rPr>
        <w:t xml:space="preserve">tác phổ biến, giáo dục pháp luật </w:t>
      </w:r>
      <w:r>
        <w:rPr>
          <w:color w:val="000000" w:themeColor="text1"/>
          <w:szCs w:val="28"/>
          <w:lang w:val="vi-VN"/>
        </w:rPr>
        <w:t xml:space="preserve"> </w:t>
      </w:r>
      <w:r>
        <w:rPr>
          <w:color w:val="000000" w:themeColor="text1"/>
          <w:szCs w:val="28"/>
        </w:rPr>
        <w:t>tháng</w:t>
      </w:r>
      <w:r>
        <w:rPr>
          <w:color w:val="000000" w:themeColor="text1"/>
          <w:szCs w:val="28"/>
          <w:lang w:val="vi-VN"/>
        </w:rPr>
        <w:t xml:space="preserve"> 10 </w:t>
      </w:r>
      <w:r>
        <w:rPr>
          <w:color w:val="000000" w:themeColor="text1"/>
          <w:szCs w:val="28"/>
        </w:rPr>
        <w:t>năm 2026</w:t>
      </w:r>
    </w:p>
    <w:p>
      <w:pPr>
        <w:pStyle w:val="NormalWeb"/>
        <w:spacing w:before="0" w:beforeAutospacing="0" w:after="120" w:afterAutospacing="0"/>
        <w:jc w:val="both"/>
        <w:rPr>
          <w:color w:val="000000" w:themeColor="text1"/>
          <w:sz w:val="28"/>
          <w:szCs w:val="28"/>
        </w:rPr>
      </w:pPr>
      <w:r>
        <w:rPr>
          <w:color w:val="000000" w:themeColor="text1"/>
          <w:sz w:val="28"/>
          <w:szCs w:val="28"/>
        </w:rPr>
        <w:tab/>
        <w:t>Việc ban hành, triển khai văn bản được thực hiện gắn với nhiệm vụ chuyên môn của từng bộ phận, bảo đảm phù hợp với điều kiện thực tế và yêu cầu quản lý nhà nước tại địa phương.</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2. Công tác phối hợp giữa các cơ quan, đơn vị</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chú trọng phối hợp với Ủy ban Mặt trận Tổ quốc Việt Nam xã, các tổ chức chính trị - xã hội, Công an xã, các trường học, các phòng chuyên môn và trưởng thôn trong tổ chức tuyên truyền, phổ biến pháp luật đến cán bộ, công chức, đoàn viên, hội viên và Nhân dân. Nội dung phối hợp tập trung vào các lĩnh vực thiết thực như: pháp luật về đất đai, hộ tịch, hôn nhân và gia đình, trẻ em, bình đẳng giới, phòng, chống bạo lực gia đình, an ninh trật tự, an toàn giao thông, phòng, chống tội phạm, phòng, chống lừa đảo trên không gian mạng, thực hiện dân chủ ở cơ sở và các chính sách an sinh xã hội.</w:t>
      </w:r>
    </w:p>
    <w:p>
      <w:pPr>
        <w:pStyle w:val="NormalWeb"/>
        <w:spacing w:before="0" w:beforeAutospacing="0" w:after="120" w:afterAutospacing="0"/>
        <w:jc w:val="both"/>
        <w:rPr>
          <w:color w:val="000000" w:themeColor="text1"/>
          <w:spacing w:val="-4"/>
          <w:sz w:val="28"/>
          <w:szCs w:val="28"/>
        </w:rPr>
      </w:pPr>
      <w:r>
        <w:rPr>
          <w:color w:val="000000" w:themeColor="text1"/>
          <w:spacing w:val="-4"/>
          <w:sz w:val="28"/>
          <w:szCs w:val="28"/>
        </w:rPr>
        <w:tab/>
        <w:t>Thông qua hoạt động phối hợp, công tác PBGDPL từng bước được lồng ghép với các phong trào, cuộc vận động tại địa phương, hoạt động của các tổ chức đoàn thể, sinh hoạt cộng đồng dân cư và giải quyết những vấn đề phát sinh từ thực tiễn.</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3. Công tác hướng dẫn, đôn đốc, kiểm tra và đánh giá</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chỉ đạo bộ phận chuyên môn thường xuyên theo dõi, hướng dẫn, đôn đốc việc thực hiện nhiệm vụ PBGDPL; lồng ghép kiểm tra, đánh giá kết quả thực hiện với các nhiệm vụ tư pháp, cải cách hành chính, hòa giải ở cơ sở và xây dựng cấp xã đạt chuẩn tiếp cận pháp luật.</w:t>
      </w:r>
    </w:p>
    <w:p>
      <w:pPr>
        <w:pStyle w:val="NormalWeb"/>
        <w:spacing w:before="0" w:beforeAutospacing="0" w:after="120" w:afterAutospacing="0"/>
        <w:jc w:val="both"/>
        <w:rPr>
          <w:color w:val="000000" w:themeColor="text1"/>
          <w:sz w:val="28"/>
          <w:szCs w:val="28"/>
        </w:rPr>
      </w:pPr>
      <w:r>
        <w:rPr>
          <w:color w:val="000000" w:themeColor="text1"/>
          <w:sz w:val="28"/>
          <w:szCs w:val="28"/>
        </w:rPr>
        <w:tab/>
        <w:t>Việc theo dõi, đánh giá tập trung vào kết quả triển khai các kế hoạch, số lượng hoạt động tuyên truyền, đối tượng được tiếp cận, hiệu quả phổ biến pháp luật và việc giải quyết những khó khăn, vướng mắc trong quá trình thực hiện.</w:t>
      </w:r>
    </w:p>
    <w:p>
      <w:pPr>
        <w:pStyle w:val="NormalWeb"/>
        <w:spacing w:before="0" w:beforeAutospacing="0" w:after="120" w:afterAutospacing="0"/>
        <w:jc w:val="both"/>
        <w:rPr>
          <w:color w:val="000000" w:themeColor="text1"/>
          <w:sz w:val="28"/>
          <w:szCs w:val="28"/>
        </w:rPr>
      </w:pPr>
      <w:r>
        <w:rPr>
          <w:color w:val="000000" w:themeColor="text1"/>
          <w:sz w:val="28"/>
          <w:szCs w:val="28"/>
        </w:rPr>
        <w:lastRenderedPageBreak/>
        <w:tab/>
        <w:t xml:space="preserve">Qua đó, góp phần nâng cao trách nhiệm của các bộ phận chuyên môn và các tổ chức có liên quan trong triển khai công tác PBGDPL; từng bước đổi mới nội dung, phương thức tuyên truyền </w:t>
      </w:r>
      <w:proofErr w:type="gramStart"/>
      <w:r>
        <w:rPr>
          <w:color w:val="000000" w:themeColor="text1"/>
          <w:sz w:val="28"/>
          <w:szCs w:val="28"/>
        </w:rPr>
        <w:t>theo</w:t>
      </w:r>
      <w:proofErr w:type="gramEnd"/>
      <w:r>
        <w:rPr>
          <w:color w:val="000000" w:themeColor="text1"/>
          <w:sz w:val="28"/>
          <w:szCs w:val="28"/>
        </w:rPr>
        <w:t xml:space="preserve"> hướng thiết thực, dễ hiểu, dễ tiếp cận và phù hợp với từng nhóm đối tượng.</w:t>
      </w:r>
    </w:p>
    <w:p>
      <w:pPr>
        <w:pStyle w:val="Heading1"/>
        <w:spacing w:after="120"/>
        <w:jc w:val="both"/>
        <w:rPr>
          <w:rFonts w:ascii="Times New Roman" w:hAnsi="Times New Roman"/>
          <w:color w:val="000000" w:themeColor="text1"/>
          <w:sz w:val="26"/>
          <w:szCs w:val="28"/>
        </w:rPr>
      </w:pPr>
      <w:r>
        <w:rPr>
          <w:rFonts w:ascii="Times New Roman" w:hAnsi="Times New Roman"/>
          <w:color w:val="000000" w:themeColor="text1"/>
          <w:sz w:val="26"/>
          <w:szCs w:val="28"/>
        </w:rPr>
        <w:tab/>
        <w:t>II. KẾT QUẢ THỰC HIỆN</w:t>
      </w:r>
    </w:p>
    <w:p>
      <w:pPr>
        <w:pStyle w:val="Heading2"/>
        <w:spacing w:before="0" w:after="1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b/>
        <w:t>1. Kết quả tổ chức các hoạt động phổ biến, giáo dục pháp luật</w:t>
      </w:r>
    </w:p>
    <w:p>
      <w:pPr>
        <w:pStyle w:val="Heading3"/>
        <w:spacing w:before="0" w:after="1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ab/>
        <w:t>a) Nội dung phổ biến, giáo dục pháp luật</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Về nội dung pháp luật được tuyên truyền, phổ biến</w:t>
      </w:r>
    </w:p>
    <w:p>
      <w:pPr>
        <w:pStyle w:val="NormalWeb"/>
        <w:spacing w:before="0" w:beforeAutospacing="0" w:after="120" w:afterAutospacing="0"/>
        <w:jc w:val="both"/>
        <w:rPr>
          <w:color w:val="000000" w:themeColor="text1"/>
          <w:sz w:val="28"/>
          <w:szCs w:val="28"/>
        </w:rPr>
      </w:pPr>
      <w:r>
        <w:rPr>
          <w:color w:val="000000" w:themeColor="text1"/>
          <w:sz w:val="28"/>
          <w:szCs w:val="28"/>
        </w:rPr>
        <w:tab/>
        <w:t>Trong kỳ báo cáo, UBND xã tập trung tuyên truyền, phổ biến các chủ trương của Đảng, chính sách, pháp luật của Nhà nước; các luật, nghị quyết, văn bản quy phạm pháp luật mới ban hành; những quy định liên quan trực tiếp đến đời sống, quyền và lợi ích hợp pháp của người dân, doanh nghiệp và yêu cầu thực hiện nhiệm vụ chính trị tại địa phương.</w:t>
      </w:r>
    </w:p>
    <w:p>
      <w:pPr>
        <w:pStyle w:val="NormalWeb"/>
        <w:spacing w:before="0" w:beforeAutospacing="0" w:after="120" w:afterAutospacing="0"/>
        <w:jc w:val="both"/>
        <w:rPr>
          <w:color w:val="000000" w:themeColor="text1"/>
          <w:sz w:val="28"/>
          <w:szCs w:val="28"/>
        </w:rPr>
      </w:pPr>
      <w:r>
        <w:rPr>
          <w:color w:val="000000" w:themeColor="text1"/>
          <w:sz w:val="28"/>
          <w:szCs w:val="28"/>
        </w:rPr>
        <w:tab/>
        <w:t>Các nội dung trọng tâm gồm:</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Pháp luật về tổ chức chính quyền địa phương, thực hiện dân chủ ở cơ sở, cải cách hành chính, kiểm soát thủ tục hành chính và trách nhiệm của cán bộ, công chức trong thực thi công vụ.</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Pháp luật về đất </w:t>
      </w:r>
      <w:proofErr w:type="gramStart"/>
      <w:r>
        <w:rPr>
          <w:color w:val="000000" w:themeColor="text1"/>
          <w:sz w:val="28"/>
          <w:szCs w:val="28"/>
        </w:rPr>
        <w:t>đai</w:t>
      </w:r>
      <w:proofErr w:type="gramEnd"/>
      <w:r>
        <w:rPr>
          <w:color w:val="000000" w:themeColor="text1"/>
          <w:sz w:val="28"/>
          <w:szCs w:val="28"/>
        </w:rPr>
        <w:t>, tài nguyên và môi trường; quyền, nghĩa vụ của người sử dụng đất; trình tự, thủ tục hành chính về đất đai và giải quyết tranh chấp, kiến nghị, phản ánh thuộc thẩm quyền.</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Pháp luật về hộ tịch, chứng thực, hôn nhân và gia đình, nuôi con nuôi, quốc tịch và các quy định liên quan đến quyền, lợi ích hợp pháp của trẻ em.</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 xml:space="preserve"> </w:t>
      </w:r>
      <w:r>
        <w:rPr>
          <w:color w:val="000000" w:themeColor="text1"/>
          <w:sz w:val="28"/>
          <w:szCs w:val="28"/>
        </w:rPr>
        <w:tab/>
      </w:r>
      <w:proofErr w:type="gramStart"/>
      <w:r>
        <w:rPr>
          <w:color w:val="000000" w:themeColor="text1"/>
          <w:sz w:val="28"/>
          <w:szCs w:val="28"/>
        </w:rPr>
        <w:t>Pháp luật về hòa giải ở cơ sở, tiếp công dân, khiếu nại, tố cáo, phòng, chống tham nhũng, thực hành tiết kiệm, chống lãng phí và trách nhiệm giải trình của cơ quan nhà nước.</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Pháp luật về </w:t>
      </w:r>
      <w:proofErr w:type="gramStart"/>
      <w:r>
        <w:rPr>
          <w:color w:val="000000" w:themeColor="text1"/>
          <w:sz w:val="28"/>
          <w:szCs w:val="28"/>
        </w:rPr>
        <w:t>an</w:t>
      </w:r>
      <w:proofErr w:type="gramEnd"/>
      <w:r>
        <w:rPr>
          <w:color w:val="000000" w:themeColor="text1"/>
          <w:sz w:val="28"/>
          <w:szCs w:val="28"/>
        </w:rPr>
        <w:t xml:space="preserve"> ninh trật tự, an toàn giao thông, phòng, chống tội phạm, phòng, chống ma túy, phòng cháy, chữa cháy và cứu nạn, cứu hộ.</w:t>
      </w:r>
      <w:r>
        <w:rPr>
          <w:color w:val="000000" w:themeColor="text1"/>
          <w:sz w:val="28"/>
          <w:szCs w:val="28"/>
        </w:rPr>
        <w:tab/>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Pháp luật về bình đẳng giới, phòng, chống bạo lực gia đình, bảo vệ trẻ em, giáo dục giới tính học đường và phòng ngừa xâm hại trẻ em.</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Các quy định pháp luật về bảo vệ dữ liệu cá nhân, an toàn thông tin, an ninh mạng, trách nhiệm khi sử dụng mạng xã hội và phòng ngừa các hành vi lừa đảo trên không gian mạng.</w:t>
      </w:r>
    </w:p>
    <w:p>
      <w:pPr>
        <w:pStyle w:val="NormalWeb"/>
        <w:spacing w:before="0" w:beforeAutospacing="0" w:after="120" w:afterAutospacing="0"/>
        <w:jc w:val="both"/>
        <w:rPr>
          <w:color w:val="000000" w:themeColor="text1"/>
          <w:sz w:val="28"/>
          <w:szCs w:val="28"/>
        </w:rPr>
      </w:pPr>
      <w:r>
        <w:rPr>
          <w:color w:val="000000" w:themeColor="text1"/>
          <w:sz w:val="28"/>
          <w:szCs w:val="28"/>
        </w:rPr>
        <w:tab/>
        <w:t>Các chính sách, quy định liên quan đến an sinh xã hội, lao động, việc làm, sản xuất, kinh doanh, nghĩa vụ thuế và quyền, nghĩa vụ của công dân.</w:t>
      </w:r>
    </w:p>
    <w:p>
      <w:pPr>
        <w:pStyle w:val="NormalWeb"/>
        <w:spacing w:before="0" w:beforeAutospacing="0" w:after="120" w:afterAutospacing="0"/>
        <w:jc w:val="both"/>
        <w:rPr>
          <w:color w:val="000000" w:themeColor="text1"/>
          <w:sz w:val="28"/>
          <w:szCs w:val="28"/>
        </w:rPr>
      </w:pPr>
      <w:r>
        <w:rPr>
          <w:color w:val="000000" w:themeColor="text1"/>
          <w:sz w:val="28"/>
          <w:szCs w:val="28"/>
        </w:rPr>
        <w:tab/>
        <w:t>Việc lựa chọn nội dung tuyên truyền được gắn với tình hình thực tế của địa phương, yêu cầu thực hiện nhiệm vụ phát triển kinh tế - xã hội và những vấn đề pháp lý thường phát sinh tại cộng đồng dân cư.</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lastRenderedPageBreak/>
        <w:tab/>
        <w:t>- Về truyền thông dự thảo chính sách, dự thảo văn bản quy phạm pháp luật</w:t>
      </w:r>
    </w:p>
    <w:p>
      <w:pPr>
        <w:pStyle w:val="NormalWeb"/>
        <w:spacing w:before="0" w:beforeAutospacing="0" w:after="120" w:afterAutospacing="0"/>
        <w:jc w:val="both"/>
        <w:rPr>
          <w:color w:val="000000" w:themeColor="text1"/>
          <w:sz w:val="28"/>
          <w:szCs w:val="28"/>
        </w:rPr>
      </w:pPr>
      <w:r>
        <w:rPr>
          <w:color w:val="000000" w:themeColor="text1"/>
          <w:sz w:val="28"/>
          <w:szCs w:val="28"/>
        </w:rPr>
        <w:t xml:space="preserve">UBND xã thực hiện việc thông tin, tuyên truyền và tham gia góp ý đối với các dự thảo văn bản, chính sách </w:t>
      </w:r>
      <w:proofErr w:type="gramStart"/>
      <w:r>
        <w:rPr>
          <w:color w:val="000000" w:themeColor="text1"/>
          <w:sz w:val="28"/>
          <w:szCs w:val="28"/>
        </w:rPr>
        <w:t>theo</w:t>
      </w:r>
      <w:proofErr w:type="gramEnd"/>
      <w:r>
        <w:rPr>
          <w:color w:val="000000" w:themeColor="text1"/>
          <w:sz w:val="28"/>
          <w:szCs w:val="28"/>
        </w:rPr>
        <w:t xml:space="preserve"> yêu cầu của cơ quan có thẩm quyền; phối hợp thông tin đến các đối tượng chịu tác động trực tiếp khi có yêu cầu lấy ý kiến. Việc truyền thông, lấy ý kiến được thực hiện thông qua các hình thức phù hợp như gửi văn bản đến cơ quan, đơn vị liên quan; lồng ghép trong các cuộc họp, hội nghị; tiếp nhận ý kiến góp ý của tổ chức, cá nhân và các hình thức khác theo quy định.</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xml:space="preserve">- Về PBGDPL </w:t>
      </w:r>
      <w:proofErr w:type="gramStart"/>
      <w:r>
        <w:rPr>
          <w:rStyle w:val="Strong"/>
          <w:b w:val="0"/>
          <w:color w:val="000000" w:themeColor="text1"/>
          <w:sz w:val="28"/>
          <w:szCs w:val="28"/>
        </w:rPr>
        <w:t>theo</w:t>
      </w:r>
      <w:proofErr w:type="gramEnd"/>
      <w:r>
        <w:rPr>
          <w:rStyle w:val="Strong"/>
          <w:b w:val="0"/>
          <w:color w:val="000000" w:themeColor="text1"/>
          <w:sz w:val="28"/>
          <w:szCs w:val="28"/>
        </w:rPr>
        <w:t xml:space="preserve"> nhóm đối tượng, địa bàn và lĩnh vực</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quan tâm đổi mới nội dung, cách thức tuyên truyền phù hợp với từng nhóm đối tượng, chú trọng người dân ở các thôn; người cao tuổi; thanh thiếu niên, học sinh; phụ nữ; người trực tiếp tham gia sản xuất, kinh doanh và các nhóm đối tượng cần được hỗ trợ tiếp cận pháp luật.</w:t>
      </w:r>
    </w:p>
    <w:p>
      <w:pPr>
        <w:pStyle w:val="NormalWeb"/>
        <w:spacing w:before="0" w:beforeAutospacing="0" w:after="120" w:afterAutospacing="0"/>
        <w:jc w:val="both"/>
        <w:rPr>
          <w:color w:val="000000" w:themeColor="text1"/>
          <w:sz w:val="28"/>
          <w:szCs w:val="28"/>
        </w:rPr>
      </w:pPr>
      <w:r>
        <w:rPr>
          <w:color w:val="000000" w:themeColor="text1"/>
          <w:sz w:val="28"/>
          <w:szCs w:val="28"/>
        </w:rPr>
        <w:tab/>
        <w:t>Đối với địa bàn xã Sơn Tiến sau sắp xếp đơn vị hành chính</w:t>
      </w:r>
      <w:r>
        <w:rPr>
          <w:color w:val="000000" w:themeColor="text1"/>
          <w:sz w:val="28"/>
          <w:szCs w:val="28"/>
          <w:lang w:val="vi-VN"/>
        </w:rPr>
        <w:t xml:space="preserve"> giảm từ 39 thôn xuống còn 11 thôn</w:t>
      </w:r>
      <w:r>
        <w:rPr>
          <w:color w:val="000000" w:themeColor="text1"/>
          <w:sz w:val="28"/>
          <w:szCs w:val="28"/>
        </w:rPr>
        <w:t>, công tác PBGDPL được định hướng triển khai theo hướng tăng cường tuyên truyền tại cơ sở, phát huy vai trò của trưởng thôn, tuyên truyền viên pháp luật, hòa giải viên và các tổ chức đoàn thể.</w:t>
      </w:r>
    </w:p>
    <w:p>
      <w:pPr>
        <w:pStyle w:val="NormalWeb"/>
        <w:spacing w:before="0" w:beforeAutospacing="0" w:after="120" w:afterAutospacing="0"/>
        <w:jc w:val="both"/>
        <w:rPr>
          <w:color w:val="000000" w:themeColor="text1"/>
          <w:sz w:val="28"/>
          <w:szCs w:val="28"/>
        </w:rPr>
      </w:pPr>
      <w:r>
        <w:rPr>
          <w:color w:val="000000" w:themeColor="text1"/>
          <w:sz w:val="28"/>
          <w:szCs w:val="28"/>
        </w:rPr>
        <w:tab/>
        <w:t>Nội dung tuyên truyền được lựa chọn theo nhu cầu thực tế, tập trung vào những vấn đề người dân thường quan tâm như đất đai, hộ tịch, hôn nhân và gia đình, chính sách xã hội, an ninh trật tự, phòng ngừa vi phạm pháp luật và giải quyết mâu thuẫn trong cộng đồng dân cư.</w:t>
      </w:r>
    </w:p>
    <w:p>
      <w:pPr>
        <w:pStyle w:val="Heading3"/>
        <w:spacing w:before="0" w:after="1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ab/>
        <w:t>b) Đa dạng hóa hình thức, ứng dụng công nghệ thông tin và chuyển đổi số trong công tác PBGDPL</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Về đổi mới, đa dạng hóa hình thức tuyên truyền</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triển khai công tác PBGDPL thông qua các hình thức trực tiếp và gián tiếp, kết hợp tuyên truyền tập trung với tuyên truyền thường xuyên tại cộng đồng dân cư; lồng ghép nội dung pháp luật trong hội nghị, cuộc họp, sinh hoạt đoàn thể, hoạt động hòa giải và giải quyết công việc liên quan đến người dân.</w:t>
      </w:r>
    </w:p>
    <w:p>
      <w:pPr>
        <w:pStyle w:val="NormalWeb"/>
        <w:spacing w:before="0" w:beforeAutospacing="0" w:after="120" w:afterAutospacing="0"/>
        <w:jc w:val="both"/>
        <w:rPr>
          <w:color w:val="000000" w:themeColor="text1"/>
          <w:sz w:val="28"/>
          <w:szCs w:val="28"/>
        </w:rPr>
      </w:pPr>
      <w:r>
        <w:rPr>
          <w:color w:val="000000" w:themeColor="text1"/>
          <w:sz w:val="28"/>
          <w:szCs w:val="28"/>
        </w:rPr>
        <w:tab/>
        <w:t>Các hình thức tuyên truyền được sử dụng gồm: hội nghị phổ biến pháp luật; tuyên truyền thông qua hệ thống truyền thanh; đăng tải tin, bài trên Trang thông tin điện tử xã; phát hành tài liệu tuyên truyền; lồng ghép trong sinh hoạt thôn và các hoạt động phổ biến pháp luật khác.</w:t>
      </w:r>
    </w:p>
    <w:p>
      <w:pPr>
        <w:pStyle w:val="NormalWeb"/>
        <w:spacing w:before="0" w:beforeAutospacing="0" w:after="120" w:afterAutospacing="0"/>
        <w:jc w:val="both"/>
        <w:rPr>
          <w:color w:val="000000" w:themeColor="text1"/>
          <w:sz w:val="28"/>
          <w:szCs w:val="28"/>
        </w:rPr>
      </w:pPr>
      <w:r>
        <w:rPr>
          <w:color w:val="000000" w:themeColor="text1"/>
          <w:sz w:val="28"/>
          <w:szCs w:val="28"/>
        </w:rPr>
        <w:tab/>
        <w:t>Kết quả cụ thể:</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t>Tổng số cuộc tuyên truyền, PBGDPL: 45 cuộc.</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t>Số cuộc tuyên truyền trực tiếp: 02 cuộc.</w:t>
      </w:r>
    </w:p>
    <w:p>
      <w:pPr>
        <w:pStyle w:val="NormalWeb"/>
        <w:spacing w:before="0" w:beforeAutospacing="0" w:after="120" w:afterAutospacing="0"/>
        <w:ind w:firstLine="720"/>
        <w:jc w:val="both"/>
        <w:rPr>
          <w:color w:val="000000" w:themeColor="text1"/>
          <w:sz w:val="28"/>
          <w:szCs w:val="28"/>
        </w:rPr>
      </w:pPr>
      <w:r>
        <w:rPr>
          <w:color w:val="000000" w:themeColor="text1"/>
          <w:sz w:val="28"/>
          <w:szCs w:val="28"/>
        </w:rPr>
        <w:t>Số cuộc tuyên truyền lồng ghép trong hội nghị, sinh hoạt đoàn thể, thôn: 43 cuộc.</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lastRenderedPageBreak/>
        <w:t>Tổng số lượt người tham dự, tiếp cận trực tiếp: 3900 lượt người.</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t>Số tin, bài tuyên truyền pháp luật được đăng tải: 45 tin, bài.</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t>Số lượt phát thanh, truyền thanh có nội dung pháp luật: 44 lượt.</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Về biên soạn, cấp phát tài liệu PBGDPL</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UBND xã tổ chức khai thác, sử dụng các tài liệu pháp luật do cơ quan có thẩm quyền phát hành; đồng thời xây dựng, biên tập hoặc phối hợp xây dựng tài liệu tuyên truyền phù hợp với nhu cầu của người dân.</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Nội dung tài liệu tập trung vào các quy định pháp luật thiết thực, dễ hiểu, dễ áp dụng; chú trọng hướng dẫn quyền, nghĩa vụ của công dân, trình tự thực hiện thủ tục hành chính và các biện pháp phòng ngừa hành vi vi phạm pháp luật.</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Về tổ chức các cuộc thi tìm hiểu pháp luật</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triển khai tuyên truyền, phổ biến và hưởng ứng các cuộc thi tìm hiểu pháp luật do cơ quan cấp trên phát động; thông tin về mục đích, nội dung, thể lệ và cách thức tham gia đến cán bộ, công chức và Nhân dân.</w:t>
      </w:r>
    </w:p>
    <w:p>
      <w:pPr>
        <w:pStyle w:val="NormalWeb"/>
        <w:spacing w:before="0" w:beforeAutospacing="0" w:after="120" w:afterAutospacing="0"/>
        <w:jc w:val="both"/>
        <w:rPr>
          <w:color w:val="000000" w:themeColor="text1"/>
          <w:sz w:val="28"/>
          <w:szCs w:val="28"/>
        </w:rPr>
      </w:pPr>
      <w:r>
        <w:rPr>
          <w:color w:val="000000" w:themeColor="text1"/>
          <w:sz w:val="28"/>
          <w:szCs w:val="28"/>
        </w:rPr>
        <w:tab/>
        <w:t>Việc tham gia các cuộc thi góp phần tạo điều kiện để cán bộ, công chức và Nhân dân tìm hiểu, cập nhật kiến thức pháp luật, nâng cao ý thức chấp hành pháp luật và thúc đẩy phong trào học tập, tìm hiểu pháp luật tại cơ sở.</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Về xây dựng và phát triển các sản phẩm số phục vụ PBGDPL</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UBND xã quan tâm ứng dụng công nghệ thông tin và chuyển đổi số trong công tác PBGDPL; từng bước đổi mới việc truyền tải nội dung pháp luật thông qua môi trường số, tăng khả năng tiếp cận thông tin của người dân.</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Các hình thức được định hướng triển khai gồm đăng tải tin, bài trên Trang thông tin điện tử xã; chia sẻ tài liệu pháp luật điện tử; xây dựng nội dung tuyên truyền dưới dạng hình ảnh, infographic, video ngắn; sử dụng các kênh thông tin số phù hợp và khai thác mã QR để hỗ trợ tra cứu thông tin khi có điều kiện.</w:t>
      </w:r>
    </w:p>
    <w:p>
      <w:pPr>
        <w:pStyle w:val="NormalWeb"/>
        <w:spacing w:before="0" w:beforeAutospacing="0" w:after="120" w:afterAutospacing="0"/>
        <w:jc w:val="both"/>
        <w:rPr>
          <w:color w:val="000000" w:themeColor="text1"/>
          <w:spacing w:val="-4"/>
          <w:sz w:val="28"/>
          <w:szCs w:val="28"/>
        </w:rPr>
      </w:pPr>
      <w:r>
        <w:rPr>
          <w:color w:val="000000" w:themeColor="text1"/>
          <w:spacing w:val="-4"/>
          <w:sz w:val="28"/>
          <w:szCs w:val="28"/>
        </w:rPr>
        <w:tab/>
        <w:t xml:space="preserve">Nội dung truyền thông số tập trung vào các quy định pháp luật mới, hướng dẫn thực hiện thủ tục hành chính, bảo vệ trẻ em, giáo dục giới tính học đường, </w:t>
      </w:r>
      <w:proofErr w:type="gramStart"/>
      <w:r>
        <w:rPr>
          <w:color w:val="000000" w:themeColor="text1"/>
          <w:spacing w:val="-4"/>
          <w:sz w:val="28"/>
          <w:szCs w:val="28"/>
        </w:rPr>
        <w:t>an</w:t>
      </w:r>
      <w:proofErr w:type="gramEnd"/>
      <w:r>
        <w:rPr>
          <w:color w:val="000000" w:themeColor="text1"/>
          <w:spacing w:val="-4"/>
          <w:sz w:val="28"/>
          <w:szCs w:val="28"/>
        </w:rPr>
        <w:t xml:space="preserve"> toàn giao thông, an ninh mạng và những vấn đề pháp luật được người dân quan tâm.</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tab/>
        <w:t>- Về xây dựng, duy trì và nhân rộng mô hình PBGDPL</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chú trọng phát huy vai trò của đội ngũ tuyên truyền viên pháp luật, hòa giải viên, trưởng thôn, các tổ chức đoàn thể và những người có uy tín trong cộng đồng dân cư trong việc truyền tải, giải thích pháp luật và vận động Nhân dân chấp hành pháp luật.</w:t>
      </w:r>
    </w:p>
    <w:p>
      <w:pPr>
        <w:pStyle w:val="NormalWeb"/>
        <w:spacing w:before="0" w:beforeAutospacing="0" w:after="120" w:afterAutospacing="0"/>
        <w:jc w:val="both"/>
        <w:rPr>
          <w:color w:val="000000" w:themeColor="text1"/>
          <w:sz w:val="28"/>
          <w:szCs w:val="28"/>
        </w:rPr>
      </w:pPr>
      <w:r>
        <w:rPr>
          <w:color w:val="000000" w:themeColor="text1"/>
          <w:sz w:val="28"/>
          <w:szCs w:val="28"/>
        </w:rPr>
        <w:tab/>
        <w:t>Các hình thức có thể được duy trì, củng cố và đánh giá gồm: tuyên truyền pháp luật lồng ghép trong sinh hoạt thôn; mô hình tổ hòa giải ở cơ sở; tuyên truyền pháp luật thông qua các tổ chức đoàn thể; tuyên truyền trên nền tảng số và các hình thức hỗ trợ người dân tra cứu pháp luật.</w:t>
      </w:r>
    </w:p>
    <w:p>
      <w:pPr>
        <w:pStyle w:val="NormalWeb"/>
        <w:spacing w:before="0" w:beforeAutospacing="0" w:after="120" w:afterAutospacing="0"/>
        <w:jc w:val="both"/>
        <w:rPr>
          <w:b/>
          <w:color w:val="000000" w:themeColor="text1"/>
          <w:sz w:val="28"/>
          <w:szCs w:val="28"/>
        </w:rPr>
      </w:pPr>
      <w:r>
        <w:rPr>
          <w:rStyle w:val="Strong"/>
          <w:b w:val="0"/>
          <w:color w:val="000000" w:themeColor="text1"/>
          <w:sz w:val="28"/>
          <w:szCs w:val="28"/>
        </w:rPr>
        <w:lastRenderedPageBreak/>
        <w:tab/>
        <w:t>- Về công tác hòa giải ở cơ sở</w:t>
      </w:r>
    </w:p>
    <w:p>
      <w:pPr>
        <w:pStyle w:val="NormalWeb"/>
        <w:spacing w:before="0" w:beforeAutospacing="0" w:after="120" w:afterAutospacing="0"/>
        <w:jc w:val="both"/>
        <w:rPr>
          <w:color w:val="000000" w:themeColor="text1"/>
          <w:spacing w:val="-4"/>
          <w:sz w:val="28"/>
          <w:szCs w:val="28"/>
        </w:rPr>
      </w:pPr>
      <w:r>
        <w:rPr>
          <w:color w:val="000000" w:themeColor="text1"/>
          <w:spacing w:val="-4"/>
          <w:sz w:val="28"/>
          <w:szCs w:val="28"/>
        </w:rPr>
        <w:tab/>
        <w:t>UBND xã Sơn Tiến quan tâm chỉ đạo, củng cố và nâng cao chất lượng hoạt động hòa giải ở cơ sở; phát huy vai trò của tổ hòa giải và hòa giải viên trong việc giải quyết các mâu thuẫn, tranh chấp, vi phạm pháp luật thuộc phạm vi hòa giải, góp phần hạn chế phát sinh đơn thư và giữ gìn đoàn kết trong cộng đồng dân cư.</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Công tác hòa giải tập trung vào các mâu thuẫn, tranh chấp phát sinh từ quan hệ gia đình, dân sự, đất </w:t>
      </w:r>
      <w:proofErr w:type="gramStart"/>
      <w:r>
        <w:rPr>
          <w:color w:val="000000" w:themeColor="text1"/>
          <w:sz w:val="28"/>
          <w:szCs w:val="28"/>
        </w:rPr>
        <w:t>đai</w:t>
      </w:r>
      <w:proofErr w:type="gramEnd"/>
      <w:r>
        <w:rPr>
          <w:color w:val="000000" w:themeColor="text1"/>
          <w:sz w:val="28"/>
          <w:szCs w:val="28"/>
        </w:rPr>
        <w:t>, ranh giới và quyền sử dụng đất, lối đi, quan hệ láng giềng và các vấn đề khác thuộc phạm vi hòa giải ở cơ sở.</w:t>
      </w:r>
    </w:p>
    <w:p>
      <w:pPr>
        <w:pStyle w:val="NormalWeb"/>
        <w:spacing w:before="0" w:beforeAutospacing="0" w:after="120" w:afterAutospacing="0"/>
        <w:jc w:val="both"/>
        <w:rPr>
          <w:color w:val="000000" w:themeColor="text1"/>
          <w:sz w:val="32"/>
          <w:szCs w:val="28"/>
          <w:lang w:val="vi-VN"/>
        </w:rPr>
      </w:pPr>
      <w:r>
        <w:rPr>
          <w:color w:val="000000" w:themeColor="text1"/>
          <w:sz w:val="28"/>
          <w:szCs w:val="28"/>
        </w:rPr>
        <w:tab/>
        <w:t>Kết quả từ ngày 01/01/2026 đến hết ngày 15/10/2026</w:t>
      </w:r>
      <w:r>
        <w:rPr>
          <w:color w:val="000000" w:themeColor="text1"/>
          <w:sz w:val="28"/>
          <w:szCs w:val="28"/>
          <w:lang w:val="vi-VN"/>
        </w:rPr>
        <w:t xml:space="preserve"> trên địa bàn không xảy ra tranh chấp dẫn đến việc phải hòa giải</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Các vụ, việc được phân loại </w:t>
      </w:r>
      <w:proofErr w:type="gramStart"/>
      <w:r>
        <w:rPr>
          <w:color w:val="000000" w:themeColor="text1"/>
          <w:sz w:val="28"/>
          <w:szCs w:val="28"/>
        </w:rPr>
        <w:t>theo</w:t>
      </w:r>
      <w:proofErr w:type="gramEnd"/>
      <w:r>
        <w:rPr>
          <w:color w:val="000000" w:themeColor="text1"/>
          <w:sz w:val="28"/>
          <w:szCs w:val="28"/>
        </w:rPr>
        <w:t xml:space="preserve"> lĩnh vực, trong đó tập trung vào tranh chấp dân sự, đất đai, hôn nhân và gia đình, mâu thuẫn trong sinh hoạt cộng đồng và các lĩnh vực khác.</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Thông qua hoạt động hòa giải, các bên được hướng dẫn nhận thức đúng quyền, nghĩa vụ của mình, nâng cao ý thức tôn trọng pháp luật và ưu tiên giải quyết mâu thuẫn bằng phương thức hòa giải phù hợp, đúng quy định.</w:t>
      </w:r>
      <w:proofErr w:type="gramEnd"/>
    </w:p>
    <w:p>
      <w:pPr>
        <w:pStyle w:val="Heading3"/>
        <w:spacing w:before="0" w:after="120"/>
        <w:jc w:val="both"/>
        <w:rPr>
          <w:rFonts w:ascii="Times New Roman" w:hAnsi="Times New Roman" w:cs="Times New Roman"/>
          <w:i/>
          <w:color w:val="000000" w:themeColor="text1"/>
          <w:sz w:val="28"/>
          <w:szCs w:val="28"/>
        </w:rPr>
      </w:pPr>
      <w:r>
        <w:rPr>
          <w:rFonts w:ascii="Times New Roman" w:hAnsi="Times New Roman" w:cs="Times New Roman"/>
          <w:i/>
          <w:color w:val="000000" w:themeColor="text1"/>
          <w:sz w:val="28"/>
          <w:szCs w:val="28"/>
        </w:rPr>
        <w:tab/>
        <w:t>c) Tổ chức các hoạt động hưởng ứng Ngày Pháp luật nước Cộng hòa xã hội chủ nghĩa Việt Nam năm 2026</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xác định việc hưởng ứng Ngày Pháp luật Việt Nam là hoạt động có ý nghĩa thiết thực nhằm tôn vinh Hiến pháp, pháp luật, nâng cao ý thức thượng tôn pháp luật và xây dựng văn hóa tuân thủ pháp luật trong cán bộ, công chức và Nhân dân.</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Trong năm 2026, UBND xã triển khai công tác chuẩn bị, xây dựng kế hoạch và tổ chức các hoạt động hưởng ứng Ngày Pháp luật Việt Nam </w:t>
      </w:r>
      <w:proofErr w:type="gramStart"/>
      <w:r>
        <w:rPr>
          <w:color w:val="000000" w:themeColor="text1"/>
          <w:sz w:val="28"/>
          <w:szCs w:val="28"/>
        </w:rPr>
        <w:t>theo</w:t>
      </w:r>
      <w:proofErr w:type="gramEnd"/>
      <w:r>
        <w:rPr>
          <w:color w:val="000000" w:themeColor="text1"/>
          <w:sz w:val="28"/>
          <w:szCs w:val="28"/>
        </w:rPr>
        <w:t xml:space="preserve"> hướng dẫn của cơ quan có thẩm quyền.</w:t>
      </w:r>
    </w:p>
    <w:p>
      <w:pPr>
        <w:pStyle w:val="NormalWeb"/>
        <w:spacing w:before="0" w:beforeAutospacing="0" w:after="120" w:afterAutospacing="0"/>
        <w:jc w:val="both"/>
        <w:rPr>
          <w:color w:val="000000" w:themeColor="text1"/>
          <w:sz w:val="28"/>
          <w:szCs w:val="28"/>
        </w:rPr>
      </w:pPr>
      <w:r>
        <w:rPr>
          <w:color w:val="000000" w:themeColor="text1"/>
          <w:sz w:val="28"/>
          <w:szCs w:val="28"/>
        </w:rPr>
        <w:tab/>
        <w:t>Từ</w:t>
      </w:r>
      <w:r>
        <w:rPr>
          <w:color w:val="000000" w:themeColor="text1"/>
          <w:sz w:val="28"/>
          <w:szCs w:val="28"/>
          <w:lang w:val="vi-VN"/>
        </w:rPr>
        <w:t xml:space="preserve"> đầu tháng 10 đã mở nội dung hưởng ứng Ngày pháp luật nước Cộng hòa xã hội chủ nghĩa Việt Nam năm 2026 trên cổng thông tin điện tử. </w:t>
      </w:r>
      <w:r>
        <w:rPr>
          <w:color w:val="000000" w:themeColor="text1"/>
          <w:sz w:val="28"/>
          <w:szCs w:val="28"/>
        </w:rPr>
        <w:t>Nội dung hưởng ứng tập trung tuyên truyền về vị trí, vai trò của Hiến pháp và pháp luật; quyền, nghĩa vụ cơ bản của công dân; các quy định pháp luật gắn với đời sống dân sinh; cải cách hành chính; thực hiện dân chủ ở cơ sở; phòng, chống tham nhũng, lãng phí, tiêu cực; bảo đảm an ninh trật tự và các vấn đề pháp luật được người dân quan tâm.</w:t>
      </w:r>
    </w:p>
    <w:p>
      <w:pPr>
        <w:pStyle w:val="NormalWeb"/>
        <w:spacing w:before="0" w:beforeAutospacing="0" w:after="120" w:afterAutospacing="0"/>
        <w:jc w:val="both"/>
        <w:rPr>
          <w:color w:val="000000" w:themeColor="text1"/>
          <w:sz w:val="28"/>
          <w:szCs w:val="28"/>
        </w:rPr>
      </w:pPr>
      <w:r>
        <w:rPr>
          <w:color w:val="000000" w:themeColor="text1"/>
          <w:sz w:val="28"/>
          <w:szCs w:val="28"/>
        </w:rPr>
        <w:tab/>
        <w:t>Các hình thức thực hiện gồm tuyên truyền trên hệ thống truyền thanh, Trang thông tin điện tử xã; lồng ghép nội dung pháp luật trong các hội nghị, cuộc họp, sinh hoạt đoàn thể; đăng tải, chia sẻ tài liệu, hình ảnh, thông điệp pháp luật và tổ chức các hoạt động phù hợp với điều kiện thực tế.</w:t>
      </w:r>
    </w:p>
    <w:p>
      <w:pPr>
        <w:pStyle w:val="NormalWeb"/>
        <w:spacing w:before="0" w:beforeAutospacing="0" w:after="120" w:afterAutospacing="0"/>
        <w:jc w:val="both"/>
        <w:rPr>
          <w:color w:val="000000" w:themeColor="text1"/>
          <w:sz w:val="28"/>
          <w:szCs w:val="28"/>
        </w:rPr>
      </w:pPr>
      <w:r>
        <w:rPr>
          <w:color w:val="000000" w:themeColor="text1"/>
          <w:sz w:val="28"/>
          <w:szCs w:val="28"/>
        </w:rPr>
        <w:tab/>
        <w:t>Kết quả tổ chức trong kỳ báo cáo và thời gian chuẩn bị hưởng ứng: Xây dựng 02 câu hỏi pháp luật; 03 câu hỏi tình huống và 01 video tuyên truyền về giới tính học đường gửi Sở Tư pháp tổng hợp theo yêu cầu.</w:t>
      </w:r>
    </w:p>
    <w:p>
      <w:pPr>
        <w:pStyle w:val="Heading2"/>
        <w:spacing w:before="0" w:after="1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ab/>
        <w:t>2. Việc bảo đảm nguồn lực và các điều kiện thực hiện PBGDPL</w:t>
      </w:r>
    </w:p>
    <w:p>
      <w:pPr>
        <w:pStyle w:val="NormalWeb"/>
        <w:spacing w:before="0" w:beforeAutospacing="0" w:after="120" w:afterAutospacing="0"/>
        <w:jc w:val="both"/>
        <w:rPr>
          <w:b/>
          <w:i/>
          <w:color w:val="000000" w:themeColor="text1"/>
          <w:sz w:val="28"/>
          <w:szCs w:val="28"/>
        </w:rPr>
      </w:pPr>
      <w:r>
        <w:rPr>
          <w:rStyle w:val="Strong"/>
          <w:b w:val="0"/>
          <w:i/>
          <w:color w:val="000000" w:themeColor="text1"/>
          <w:sz w:val="28"/>
          <w:szCs w:val="28"/>
        </w:rPr>
        <w:tab/>
        <w:t xml:space="preserve">a) Đội </w:t>
      </w:r>
      <w:proofErr w:type="gramStart"/>
      <w:r>
        <w:rPr>
          <w:rStyle w:val="Strong"/>
          <w:b w:val="0"/>
          <w:i/>
          <w:color w:val="000000" w:themeColor="text1"/>
          <w:sz w:val="28"/>
          <w:szCs w:val="28"/>
        </w:rPr>
        <w:t>ngũ</w:t>
      </w:r>
      <w:proofErr w:type="gramEnd"/>
      <w:r>
        <w:rPr>
          <w:rStyle w:val="Strong"/>
          <w:b w:val="0"/>
          <w:i/>
          <w:color w:val="000000" w:themeColor="text1"/>
          <w:sz w:val="28"/>
          <w:szCs w:val="28"/>
        </w:rPr>
        <w:t xml:space="preserve"> báo cáo viên pháp luật, tuyên truyền viên pháp luật và hòa giải viên</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UBND xã quan tâm rà soát, quản lý, phát huy vai trò của đội </w:t>
      </w:r>
      <w:proofErr w:type="gramStart"/>
      <w:r>
        <w:rPr>
          <w:color w:val="000000" w:themeColor="text1"/>
          <w:sz w:val="28"/>
          <w:szCs w:val="28"/>
        </w:rPr>
        <w:t>ngũ</w:t>
      </w:r>
      <w:proofErr w:type="gramEnd"/>
      <w:r>
        <w:rPr>
          <w:color w:val="000000" w:themeColor="text1"/>
          <w:sz w:val="28"/>
          <w:szCs w:val="28"/>
        </w:rPr>
        <w:t xml:space="preserve"> tuyên truyền viên pháp luật, hòa giải viên và cán bộ, công chức được giao thực hiện nhiệm vụ PBGDPL.</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Đội </w:t>
      </w:r>
      <w:proofErr w:type="gramStart"/>
      <w:r>
        <w:rPr>
          <w:color w:val="000000" w:themeColor="text1"/>
          <w:sz w:val="28"/>
          <w:szCs w:val="28"/>
        </w:rPr>
        <w:t>ngũ</w:t>
      </w:r>
      <w:proofErr w:type="gramEnd"/>
      <w:r>
        <w:rPr>
          <w:color w:val="000000" w:themeColor="text1"/>
          <w:sz w:val="28"/>
          <w:szCs w:val="28"/>
        </w:rPr>
        <w:t xml:space="preserve"> này là lực lượng trực tiếp tham gia tuyên truyền, giải thích các quy định pháp luật, hướng dẫn người dân thực hiện quyền và nghĩa vụ, hỗ trợ giải quyết những vấn đề pháp lý phát sinh tại cơ sở.</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Nội dung tập huấn, bồi dưỡng tập trung vào cập nhật kiến thức pháp luật mới; kỹ năng tuyên truyền, phổ biến pháp luật; kỹ năng hòa giải ở cơ sở; kỹ năng xử lý tình huống pháp lý và phương pháp ứng dụng công nghệ thông tin trong công tác PBGDPL.</w:t>
      </w:r>
      <w:proofErr w:type="gramEnd"/>
    </w:p>
    <w:p>
      <w:pPr>
        <w:pStyle w:val="NormalWeb"/>
        <w:spacing w:before="0" w:beforeAutospacing="0" w:after="120" w:afterAutospacing="0"/>
        <w:jc w:val="both"/>
        <w:rPr>
          <w:b/>
          <w:i/>
          <w:color w:val="000000" w:themeColor="text1"/>
          <w:sz w:val="28"/>
          <w:szCs w:val="28"/>
        </w:rPr>
      </w:pPr>
      <w:r>
        <w:rPr>
          <w:rStyle w:val="Strong"/>
          <w:b w:val="0"/>
          <w:i/>
          <w:color w:val="000000" w:themeColor="text1"/>
          <w:sz w:val="28"/>
          <w:szCs w:val="28"/>
        </w:rPr>
        <w:tab/>
        <w:t>b) Kinh phí và các điều kiện bảo đảm thực hiện</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thực hiện việc bố trí, quản lý và sử dụng kinh phí phục vụ công tác PBGDPL theo dự toán ngân sách được giao, khả năng cân đối ngân sách địa phương và các quy định về quản lý, sử dụng kinh phí hiện hành.</w:t>
      </w:r>
    </w:p>
    <w:p>
      <w:pPr>
        <w:pStyle w:val="NormalWeb"/>
        <w:spacing w:before="0" w:beforeAutospacing="0" w:after="120" w:afterAutospacing="0"/>
        <w:jc w:val="both"/>
        <w:rPr>
          <w:color w:val="000000" w:themeColor="text1"/>
          <w:spacing w:val="-4"/>
          <w:sz w:val="28"/>
          <w:szCs w:val="28"/>
        </w:rPr>
      </w:pPr>
      <w:r>
        <w:rPr>
          <w:color w:val="000000" w:themeColor="text1"/>
          <w:spacing w:val="-4"/>
          <w:sz w:val="28"/>
          <w:szCs w:val="28"/>
        </w:rPr>
        <w:tab/>
        <w:t>Kinh phí được sử dụng cho các nhiệm vụ phù hợp như biên soạn, in ấn, cấp phát tài liệu; tổ chức hội nghị, tập huấn; tuyên truyền trên các phương tiện thông tin; hỗ trợ hoạt động hòa giải ở cơ sở và các nhiệm vụ PBGDPL khác theo quy định.</w:t>
      </w:r>
    </w:p>
    <w:p>
      <w:pPr>
        <w:pStyle w:val="NormalWeb"/>
        <w:spacing w:before="0" w:beforeAutospacing="0" w:after="120" w:afterAutospacing="0"/>
        <w:jc w:val="both"/>
        <w:rPr>
          <w:color w:val="000000" w:themeColor="text1"/>
          <w:sz w:val="28"/>
          <w:szCs w:val="28"/>
        </w:rPr>
      </w:pPr>
      <w:r>
        <w:rPr>
          <w:color w:val="000000" w:themeColor="text1"/>
          <w:sz w:val="28"/>
          <w:szCs w:val="28"/>
        </w:rPr>
        <w:tab/>
        <w:t>Kết quả thực hiện:</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t>Kinh phí được bố trí trong năm 2026: 70.000.000 đồng.</w:t>
      </w:r>
    </w:p>
    <w:p>
      <w:pPr>
        <w:pStyle w:val="NormalWeb"/>
        <w:spacing w:before="0" w:beforeAutospacing="0" w:after="120" w:afterAutospacing="0"/>
        <w:ind w:left="720"/>
        <w:jc w:val="both"/>
        <w:rPr>
          <w:color w:val="000000" w:themeColor="text1"/>
          <w:sz w:val="28"/>
          <w:szCs w:val="28"/>
        </w:rPr>
      </w:pPr>
      <w:r>
        <w:rPr>
          <w:color w:val="000000" w:themeColor="text1"/>
          <w:sz w:val="28"/>
          <w:szCs w:val="28"/>
        </w:rPr>
        <w:t>Kinh phí đã sử dụng đến ngày 15/10/2026: 45.000.000 đồng.</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Việc quản lý, sử dụng kinh phí được thực hiện </w:t>
      </w:r>
      <w:proofErr w:type="gramStart"/>
      <w:r>
        <w:rPr>
          <w:color w:val="000000" w:themeColor="text1"/>
          <w:sz w:val="28"/>
          <w:szCs w:val="28"/>
        </w:rPr>
        <w:t>theo</w:t>
      </w:r>
      <w:proofErr w:type="gramEnd"/>
      <w:r>
        <w:rPr>
          <w:color w:val="000000" w:themeColor="text1"/>
          <w:sz w:val="28"/>
          <w:szCs w:val="28"/>
        </w:rPr>
        <w:t xml:space="preserve"> đúng quy định, bảo đảm tiết kiệm, hiệu quả và phù hợp với nội dung nhiệm vụ được giao.</w:t>
      </w:r>
    </w:p>
    <w:p>
      <w:pPr>
        <w:pStyle w:val="NormalWeb"/>
        <w:spacing w:before="0" w:beforeAutospacing="0" w:after="120" w:afterAutospacing="0"/>
        <w:jc w:val="both"/>
        <w:rPr>
          <w:b/>
          <w:i/>
          <w:color w:val="000000" w:themeColor="text1"/>
          <w:sz w:val="28"/>
          <w:szCs w:val="28"/>
        </w:rPr>
      </w:pPr>
      <w:r>
        <w:rPr>
          <w:rStyle w:val="Strong"/>
          <w:b w:val="0"/>
          <w:i/>
          <w:color w:val="000000" w:themeColor="text1"/>
          <w:sz w:val="28"/>
          <w:szCs w:val="28"/>
        </w:rPr>
        <w:tab/>
        <w:t>c) Huy động, phối hợp sử dụng các nguồn lực xã hội</w:t>
      </w:r>
    </w:p>
    <w:p>
      <w:pPr>
        <w:pStyle w:val="NormalWeb"/>
        <w:spacing w:before="0" w:beforeAutospacing="0" w:after="120" w:afterAutospacing="0"/>
        <w:jc w:val="both"/>
        <w:rPr>
          <w:color w:val="000000" w:themeColor="text1"/>
          <w:sz w:val="28"/>
          <w:szCs w:val="28"/>
        </w:rPr>
      </w:pPr>
      <w:r>
        <w:rPr>
          <w:color w:val="000000" w:themeColor="text1"/>
          <w:sz w:val="28"/>
          <w:szCs w:val="28"/>
        </w:rPr>
        <w:tab/>
        <w:t>UBND xã chú trọng phối hợp với Ủy ban Mặt trận Tổ quốc Việt Nam xã, các tổ chức chính trị - xã hội, trường học, cơ quan, đơn vị và cộng đồng dân cư trong triển khai hoạt động PBGDPL.</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Việc huy động nguồn lực được thực hiện phù hợp với chức năng, nhiệm vụ của các tổ chức, bảo đảm tự nguyện, công khai, minh bạch và tuân thủ quy định pháp luật.</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Các nguồn lực về nhân sự, phương tiện truyền thông, địa điểm sinh hoạt cộng đồng và tài liệu tuyên truyền được khai thác, phối hợp sử dụng nhằm nâng cao hiệu quả hoạt động, hạn chế trùng lặp và tiết kiệm chi phí.</w:t>
      </w:r>
    </w:p>
    <w:p>
      <w:pPr>
        <w:pStyle w:val="NormalWeb"/>
        <w:spacing w:before="0" w:beforeAutospacing="0" w:after="120" w:afterAutospacing="0"/>
        <w:ind w:firstLine="720"/>
        <w:jc w:val="both"/>
        <w:rPr>
          <w:color w:val="000000" w:themeColor="text1"/>
          <w:sz w:val="28"/>
          <w:szCs w:val="28"/>
        </w:rPr>
      </w:pPr>
      <w:r>
        <w:rPr>
          <w:color w:val="000000" w:themeColor="text1"/>
          <w:sz w:val="26"/>
          <w:szCs w:val="28"/>
        </w:rPr>
        <w:t>III. ĐÁNH GIÁ CHUNG</w:t>
      </w:r>
    </w:p>
    <w:p>
      <w:pPr>
        <w:pStyle w:val="Heading2"/>
        <w:spacing w:before="0" w:after="1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ab/>
        <w:t>1. Kết quả nổi bật</w:t>
      </w:r>
    </w:p>
    <w:p>
      <w:pPr>
        <w:pStyle w:val="NormalWeb"/>
        <w:spacing w:before="0" w:beforeAutospacing="0" w:after="120" w:afterAutospacing="0"/>
        <w:jc w:val="both"/>
        <w:rPr>
          <w:color w:val="000000" w:themeColor="text1"/>
          <w:sz w:val="28"/>
          <w:szCs w:val="28"/>
        </w:rPr>
      </w:pPr>
      <w:r>
        <w:rPr>
          <w:color w:val="000000" w:themeColor="text1"/>
          <w:sz w:val="28"/>
          <w:szCs w:val="28"/>
        </w:rPr>
        <w:tab/>
        <w:t>Trong kỳ báo cáo, công tác PBGDPL trên địa bàn xã Sơn Tiến được quan tâm triển khai, từng bước gắn với nhiệm vụ quản lý nhà nước, cải cách hành chính, chuyển đổi số, xây dựng cấp xã đạt chuẩn tiếp cận pháp luật và thực hiện dân chủ ở cơ sở.</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Công tác chỉ đạo, điều hành được chú trọng; nội dung tuyên truyền từng bước hướng đến những vấn đề thiết thực, gắn với nhu cầu tìm hiểu pháp luật của người dân và tình hình thực tế tại địa phương.</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Các hình thức tuyên truyền trực tiếp, tuyên truyền qua hệ thống thông tin cơ sở và môi trường số được quan tâm triển khai.</w:t>
      </w:r>
      <w:proofErr w:type="gramEnd"/>
      <w:r>
        <w:rPr>
          <w:color w:val="000000" w:themeColor="text1"/>
          <w:sz w:val="28"/>
          <w:szCs w:val="28"/>
        </w:rPr>
        <w:t xml:space="preserve"> Vai trò của đội </w:t>
      </w:r>
      <w:proofErr w:type="gramStart"/>
      <w:r>
        <w:rPr>
          <w:color w:val="000000" w:themeColor="text1"/>
          <w:sz w:val="28"/>
          <w:szCs w:val="28"/>
        </w:rPr>
        <w:t>ngũ</w:t>
      </w:r>
      <w:proofErr w:type="gramEnd"/>
      <w:r>
        <w:rPr>
          <w:color w:val="000000" w:themeColor="text1"/>
          <w:sz w:val="28"/>
          <w:szCs w:val="28"/>
        </w:rPr>
        <w:t xml:space="preserve"> tuyên truyền viên pháp luật, hòa giải viên, trưởng thôn</w:t>
      </w:r>
      <w:r>
        <w:rPr>
          <w:color w:val="000000" w:themeColor="text1"/>
          <w:sz w:val="28"/>
          <w:szCs w:val="28"/>
          <w:lang w:val="vi-VN"/>
        </w:rPr>
        <w:t xml:space="preserve"> </w:t>
      </w:r>
      <w:r>
        <w:rPr>
          <w:color w:val="000000" w:themeColor="text1"/>
          <w:sz w:val="28"/>
          <w:szCs w:val="28"/>
        </w:rPr>
        <w:t>và các tổ chức đoàn thể tiếp tục được phát huy.</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Hoạt động hòa giải ở cơ sở góp phần giải quyết mâu thuẫn trong cộng đồng, nâng cao nhận thức pháp luật, hạn chế phát sinh tranh chấp kéo dài và góp phần giữ gìn </w:t>
      </w:r>
      <w:proofErr w:type="gramStart"/>
      <w:r>
        <w:rPr>
          <w:color w:val="000000" w:themeColor="text1"/>
          <w:sz w:val="28"/>
          <w:szCs w:val="28"/>
        </w:rPr>
        <w:t>an</w:t>
      </w:r>
      <w:proofErr w:type="gramEnd"/>
      <w:r>
        <w:rPr>
          <w:color w:val="000000" w:themeColor="text1"/>
          <w:sz w:val="28"/>
          <w:szCs w:val="28"/>
        </w:rPr>
        <w:t xml:space="preserve"> ninh trật tự tại địa phương.</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Việc gắn công tác PBGDPL với cải cách hành chính, tiếp công dân, giải quyết đơn </w:t>
      </w:r>
      <w:proofErr w:type="gramStart"/>
      <w:r>
        <w:rPr>
          <w:color w:val="000000" w:themeColor="text1"/>
          <w:sz w:val="28"/>
          <w:szCs w:val="28"/>
        </w:rPr>
        <w:t>thư</w:t>
      </w:r>
      <w:proofErr w:type="gramEnd"/>
      <w:r>
        <w:rPr>
          <w:color w:val="000000" w:themeColor="text1"/>
          <w:sz w:val="28"/>
          <w:szCs w:val="28"/>
        </w:rPr>
        <w:t>, thực hiện quyền tiếp cận thông tin và chuyển đổi số tạo điều kiện để người dân tiếp cận thông tin pháp luật thuận lợi hơn.</w:t>
      </w:r>
    </w:p>
    <w:p>
      <w:pPr>
        <w:pStyle w:val="Heading2"/>
        <w:spacing w:before="0" w:after="1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b/>
        <w:t>2. Hạn chế, khó khăn, vướng mắc</w:t>
      </w:r>
    </w:p>
    <w:p>
      <w:pPr>
        <w:pStyle w:val="NormalWeb"/>
        <w:spacing w:before="0" w:beforeAutospacing="0" w:after="120" w:afterAutospacing="0"/>
        <w:jc w:val="both"/>
        <w:rPr>
          <w:color w:val="000000" w:themeColor="text1"/>
          <w:sz w:val="28"/>
          <w:szCs w:val="28"/>
        </w:rPr>
      </w:pPr>
      <w:r>
        <w:rPr>
          <w:color w:val="000000" w:themeColor="text1"/>
          <w:sz w:val="28"/>
          <w:szCs w:val="28"/>
        </w:rPr>
        <w:tab/>
        <w:t>Bên cạnh những kết quả đạt được, công tác PBGDPL còn một số khó khăn, hạn chế cần tiếp tục khắc phục:</w:t>
      </w:r>
    </w:p>
    <w:p>
      <w:pPr>
        <w:pStyle w:val="NormalWeb"/>
        <w:spacing w:before="0" w:beforeAutospacing="0" w:after="120" w:afterAutospacing="0"/>
        <w:jc w:val="both"/>
        <w:rPr>
          <w:color w:val="000000" w:themeColor="text1"/>
          <w:sz w:val="28"/>
          <w:szCs w:val="28"/>
        </w:rPr>
      </w:pPr>
      <w:r>
        <w:rPr>
          <w:color w:val="000000" w:themeColor="text1"/>
          <w:sz w:val="28"/>
          <w:szCs w:val="28"/>
        </w:rPr>
        <w:tab/>
        <w:t>Địa bàn xã sau sắp xếp rộng, dân cư phân bố 14</w:t>
      </w:r>
      <w:r>
        <w:rPr>
          <w:color w:val="000000" w:themeColor="text1"/>
          <w:sz w:val="28"/>
          <w:szCs w:val="28"/>
          <w:lang w:val="vi-VN"/>
        </w:rPr>
        <w:t xml:space="preserve"> thôn </w:t>
      </w:r>
      <w:r>
        <w:rPr>
          <w:color w:val="000000" w:themeColor="text1"/>
          <w:sz w:val="28"/>
          <w:szCs w:val="28"/>
        </w:rPr>
        <w:t>, đặt ra yêu cầu cao về tổ chức tuyên truyền thường xuyên, đồng đều và phù hợp với từng nhóm đối tượng.</w:t>
      </w:r>
    </w:p>
    <w:p>
      <w:pPr>
        <w:pStyle w:val="NormalWeb"/>
        <w:spacing w:before="0" w:beforeAutospacing="0" w:after="120" w:afterAutospacing="0"/>
        <w:jc w:val="both"/>
        <w:rPr>
          <w:color w:val="000000" w:themeColor="text1"/>
          <w:spacing w:val="-4"/>
          <w:sz w:val="28"/>
          <w:szCs w:val="28"/>
        </w:rPr>
      </w:pPr>
      <w:r>
        <w:rPr>
          <w:color w:val="000000" w:themeColor="text1"/>
          <w:spacing w:val="-4"/>
          <w:sz w:val="28"/>
          <w:szCs w:val="28"/>
        </w:rPr>
        <w:tab/>
      </w:r>
      <w:proofErr w:type="gramStart"/>
      <w:r>
        <w:rPr>
          <w:color w:val="000000" w:themeColor="text1"/>
          <w:spacing w:val="-4"/>
          <w:sz w:val="28"/>
          <w:szCs w:val="28"/>
        </w:rPr>
        <w:t>Nhu cầu tìm hiểu pháp luật của người dân đa dạng, trong khi nguồn lực và điều kiện tổ chức hoạt động tuyên truyền tại cơ sở còn có những hạn chế nhất định.</w:t>
      </w:r>
      <w:proofErr w:type="gramEnd"/>
    </w:p>
    <w:p>
      <w:pPr>
        <w:pStyle w:val="NormalWeb"/>
        <w:spacing w:before="0" w:beforeAutospacing="0" w:after="120" w:afterAutospacing="0"/>
        <w:jc w:val="both"/>
        <w:rPr>
          <w:color w:val="000000" w:themeColor="text1"/>
          <w:spacing w:val="-4"/>
          <w:sz w:val="28"/>
          <w:szCs w:val="28"/>
        </w:rPr>
      </w:pPr>
      <w:r>
        <w:rPr>
          <w:color w:val="000000" w:themeColor="text1"/>
          <w:spacing w:val="-4"/>
          <w:sz w:val="28"/>
          <w:szCs w:val="28"/>
        </w:rPr>
        <w:tab/>
        <w:t xml:space="preserve">Việc đổi mới hình thức tuyên truyền, xây dựng sản phẩm truyền thông số và đo lường hiệu quả tiếp cận trên các nền tảng số cần tiếp tục được quan tâm đầu </w:t>
      </w:r>
      <w:proofErr w:type="gramStart"/>
      <w:r>
        <w:rPr>
          <w:color w:val="000000" w:themeColor="text1"/>
          <w:spacing w:val="-4"/>
          <w:sz w:val="28"/>
          <w:szCs w:val="28"/>
        </w:rPr>
        <w:t>tư</w:t>
      </w:r>
      <w:proofErr w:type="gramEnd"/>
      <w:r>
        <w:rPr>
          <w:color w:val="000000" w:themeColor="text1"/>
          <w:spacing w:val="-4"/>
          <w:sz w:val="28"/>
          <w:szCs w:val="28"/>
        </w:rPr>
        <w:t>.</w:t>
      </w:r>
    </w:p>
    <w:p>
      <w:pPr>
        <w:pStyle w:val="NormalWeb"/>
        <w:spacing w:before="0" w:beforeAutospacing="0" w:after="120" w:afterAutospacing="0"/>
        <w:jc w:val="both"/>
        <w:rPr>
          <w:color w:val="000000" w:themeColor="text1"/>
          <w:sz w:val="28"/>
          <w:szCs w:val="28"/>
        </w:rPr>
      </w:pPr>
      <w:r>
        <w:rPr>
          <w:color w:val="000000" w:themeColor="text1"/>
          <w:sz w:val="28"/>
          <w:szCs w:val="28"/>
        </w:rPr>
        <w:tab/>
        <w:t>Công tác phối hợp cung cấp thông tin, tài liệu và tổng hợp số liệu giữa các bộ phận, đơn vị có thời điểm cần tiếp tục được chuẩn hóa.</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Một bộ phận người dân còn gặp khó khăn trong việc tiếp cận, tìm hiểu và vận dụng các quy định pháp luật, nhất là đối với những nội dung chuyên ngành hoặc thường xuyên thay đổi.</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Điều kiện kinh phí, trang thiết bị và công tác bồi dưỡng nghiệp vụ cho lực lượng trực tiếp làm công tác PBGDPL cần tiếp tục được quan tâm.</w:t>
      </w:r>
      <w:proofErr w:type="gramEnd"/>
    </w:p>
    <w:p>
      <w:pPr>
        <w:pStyle w:val="Heading2"/>
        <w:spacing w:before="0" w:after="120"/>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ab/>
        <w:t>3. Nguyên nhân</w:t>
      </w:r>
    </w:p>
    <w:p>
      <w:pPr>
        <w:pStyle w:val="NormalWeb"/>
        <w:spacing w:before="0" w:beforeAutospacing="0" w:after="120" w:afterAutospacing="0"/>
        <w:jc w:val="both"/>
        <w:rPr>
          <w:b/>
          <w:i/>
          <w:color w:val="000000" w:themeColor="text1"/>
          <w:sz w:val="28"/>
          <w:szCs w:val="28"/>
        </w:rPr>
      </w:pPr>
      <w:r>
        <w:rPr>
          <w:rStyle w:val="Strong"/>
          <w:b w:val="0"/>
          <w:i/>
          <w:color w:val="000000" w:themeColor="text1"/>
          <w:sz w:val="28"/>
          <w:szCs w:val="28"/>
        </w:rPr>
        <w:tab/>
        <w:t>a) Nguyên nhân khách quan</w:t>
      </w:r>
    </w:p>
    <w:p>
      <w:pPr>
        <w:pStyle w:val="NormalWeb"/>
        <w:spacing w:before="0" w:beforeAutospacing="0" w:after="120" w:afterAutospacing="0"/>
        <w:jc w:val="both"/>
        <w:rPr>
          <w:color w:val="000000" w:themeColor="text1"/>
          <w:sz w:val="28"/>
          <w:szCs w:val="28"/>
        </w:rPr>
      </w:pPr>
      <w:r>
        <w:rPr>
          <w:color w:val="000000" w:themeColor="text1"/>
          <w:sz w:val="28"/>
          <w:szCs w:val="28"/>
        </w:rPr>
        <w:lastRenderedPageBreak/>
        <w:tab/>
        <w:t xml:space="preserve">Hệ thống pháp luật thường xuyên được sửa đổi, bổ sung, đòi hỏi công tác PBGDPL phải kịp thời cập nhật nội dung, tài liệu và phương pháp truyền tải. </w:t>
      </w:r>
      <w:proofErr w:type="gramStart"/>
      <w:r>
        <w:rPr>
          <w:color w:val="000000" w:themeColor="text1"/>
          <w:sz w:val="28"/>
          <w:szCs w:val="28"/>
        </w:rPr>
        <w:t>Địa bàn quản lý rộng, nhu cầu tìm hiểu pháp luật của người dân đa dạng, điều kiện tiếp cận thông tin giữa các nhóm dân cư không hoàn toàn đồng đều.</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Việc ứng dụng công nghệ thông tin trong tuyên truyền pháp luật phụ thuộc vào hạ tầng kỹ thuật, điều kiện sử dụng thiết bị và khả năng tiếp cận nền tảng số của người dân.</w:t>
      </w:r>
      <w:proofErr w:type="gramEnd"/>
    </w:p>
    <w:p>
      <w:pPr>
        <w:pStyle w:val="NormalWeb"/>
        <w:spacing w:before="0" w:beforeAutospacing="0" w:after="120" w:afterAutospacing="0"/>
        <w:jc w:val="both"/>
        <w:rPr>
          <w:b/>
          <w:i/>
          <w:color w:val="000000" w:themeColor="text1"/>
          <w:sz w:val="28"/>
          <w:szCs w:val="28"/>
        </w:rPr>
      </w:pPr>
      <w:r>
        <w:rPr>
          <w:rStyle w:val="Strong"/>
          <w:b w:val="0"/>
          <w:i/>
          <w:color w:val="000000" w:themeColor="text1"/>
          <w:sz w:val="28"/>
          <w:szCs w:val="28"/>
        </w:rPr>
        <w:tab/>
        <w:t>b) Nguyên nhân chủ quan</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Công tác đổi mới hình thức tuyên truyền, xây dựng các mô hình PBGDPL và ứng dụng công nghệ số cần tiếp tục được đẩy mạnh.</w:t>
      </w:r>
      <w:proofErr w:type="gramEnd"/>
      <w:r>
        <w:rPr>
          <w:color w:val="000000" w:themeColor="text1"/>
          <w:sz w:val="28"/>
          <w:szCs w:val="28"/>
        </w:rPr>
        <w:t xml:space="preserve"> Việc tổng hợp, đánh giá hiệu quả tuyên truyền </w:t>
      </w:r>
      <w:proofErr w:type="gramStart"/>
      <w:r>
        <w:rPr>
          <w:color w:val="000000" w:themeColor="text1"/>
          <w:sz w:val="28"/>
          <w:szCs w:val="28"/>
        </w:rPr>
        <w:t>theo</w:t>
      </w:r>
      <w:proofErr w:type="gramEnd"/>
      <w:r>
        <w:rPr>
          <w:color w:val="000000" w:themeColor="text1"/>
          <w:sz w:val="28"/>
          <w:szCs w:val="28"/>
        </w:rPr>
        <w:t xml:space="preserve"> từng nhóm đối tượng và từng kênh truyền thông cần được thực hiện thường xuyên, thống nhất hơn.</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Bên cạnh đó, năng lực, kỹ năng truyền thông pháp luật và kỹ năng ứng dụng công nghệ thông tin của lực lượng trực tiếp thực hiện nhiệm vụ cần tiếp tục được bồi dưỡng, nâng cao.</w:t>
      </w:r>
      <w:proofErr w:type="gramEnd"/>
    </w:p>
    <w:p>
      <w:pPr>
        <w:pStyle w:val="Heading1"/>
        <w:spacing w:after="120"/>
        <w:jc w:val="both"/>
        <w:rPr>
          <w:rFonts w:ascii="Times New Roman" w:hAnsi="Times New Roman"/>
          <w:color w:val="000000" w:themeColor="text1"/>
          <w:sz w:val="26"/>
          <w:szCs w:val="28"/>
        </w:rPr>
      </w:pPr>
      <w:r>
        <w:rPr>
          <w:rFonts w:ascii="Times New Roman" w:hAnsi="Times New Roman"/>
          <w:color w:val="000000" w:themeColor="text1"/>
          <w:sz w:val="26"/>
          <w:szCs w:val="28"/>
        </w:rPr>
        <w:tab/>
        <w:t>IV. PHƯƠNG HƯỚNG, NHIỆM VỤ</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1. Tiếp tục nâng cao chất lượng công tác chỉ đạo, điều hành</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Triển khai đầy đủ, kịp thời các chủ trương, chính sách, pháp luật và văn bản chỉ đạo của cấp trên về PBGDPL; cụ thể hóa thành các chương trình, kế hoạch phù hợp với điều kiện thực tế của xã.</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Tăng cường trách nhiệm của các bộ phận chuyên môn, các cơ quan, đơn vị và tổ chức có liên quan trong triển khai thực hiện; thường xuyên kiểm tra, đôn đốc, đánh giá kết quả </w:t>
      </w:r>
      <w:proofErr w:type="gramStart"/>
      <w:r>
        <w:rPr>
          <w:color w:val="000000" w:themeColor="text1"/>
          <w:sz w:val="28"/>
          <w:szCs w:val="28"/>
        </w:rPr>
        <w:t>theo</w:t>
      </w:r>
      <w:proofErr w:type="gramEnd"/>
      <w:r>
        <w:rPr>
          <w:color w:val="000000" w:themeColor="text1"/>
          <w:sz w:val="28"/>
          <w:szCs w:val="28"/>
        </w:rPr>
        <w:t xml:space="preserve"> nhiệm vụ được giao.</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2. Đổi mới nội dung, hình thức PBGDPL</w:t>
      </w:r>
    </w:p>
    <w:p>
      <w:pPr>
        <w:pStyle w:val="NormalWeb"/>
        <w:spacing w:before="0" w:beforeAutospacing="0" w:after="120" w:afterAutospacing="0"/>
        <w:jc w:val="both"/>
        <w:rPr>
          <w:color w:val="000000" w:themeColor="text1"/>
          <w:sz w:val="28"/>
          <w:szCs w:val="28"/>
        </w:rPr>
      </w:pPr>
      <w:r>
        <w:rPr>
          <w:color w:val="000000" w:themeColor="text1"/>
          <w:sz w:val="28"/>
          <w:szCs w:val="28"/>
        </w:rPr>
        <w:tab/>
        <w:t>Tập trung tuyên truyền các văn bản pháp luật mới ban hành, các quy định liên quan trực tiếp đến quyền và lợi ích hợp pháp của người dân, doanh nghiệp và nhiệm vụ phát triển kinh tế - xã hội tại địa phương.</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Đa dạng hóa hình thức tuyên truyền; tăng cường tuyên truyền trực tiếp tại thôn</w:t>
      </w:r>
      <w:r>
        <w:rPr>
          <w:color w:val="000000" w:themeColor="text1"/>
          <w:sz w:val="28"/>
          <w:szCs w:val="28"/>
          <w:lang w:val="vi-VN"/>
        </w:rPr>
        <w:t xml:space="preserve"> </w:t>
      </w:r>
      <w:r>
        <w:rPr>
          <w:color w:val="000000" w:themeColor="text1"/>
          <w:sz w:val="28"/>
          <w:szCs w:val="28"/>
        </w:rPr>
        <w:t>lồng ghép trong sinh hoạt đoàn thể, hội nghị, hoạt động hòa giải và các hoạt động cộng đồng.</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Chú trọng nội dung pháp luật về đất đai, hộ tịch, hôn nhân và gia đình, bảo vệ trẻ em, an toàn giao thông, an ninh mạng, phòng, chống tội phạm, thực hiện dân chủ ở cơ sở và cải cách hành chính.</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3. Đẩy mạnh chuyển đổi số trong công tác PBGDPL</w:t>
      </w:r>
    </w:p>
    <w:p>
      <w:pPr>
        <w:pStyle w:val="NormalWeb"/>
        <w:spacing w:before="0" w:beforeAutospacing="0" w:after="120" w:afterAutospacing="0"/>
        <w:jc w:val="both"/>
        <w:rPr>
          <w:color w:val="000000" w:themeColor="text1"/>
          <w:sz w:val="28"/>
          <w:szCs w:val="28"/>
        </w:rPr>
      </w:pPr>
      <w:r>
        <w:rPr>
          <w:color w:val="000000" w:themeColor="text1"/>
          <w:sz w:val="28"/>
          <w:szCs w:val="28"/>
        </w:rPr>
        <w:tab/>
        <w:t>Tăng cường đăng tải, chia sẻ thông tin pháp luật trên Trang thông tin điện tử xã và các kênh thông tin chính thức phù hợp; từng bước xây dựng tài liệu điện tử, video, infographic, nội dung hỏi - đáp pháp luật và các sản phẩm truyền thông dễ tiếp cận.</w:t>
      </w:r>
    </w:p>
    <w:p>
      <w:pPr>
        <w:pStyle w:val="NormalWeb"/>
        <w:spacing w:before="0" w:beforeAutospacing="0" w:after="120" w:afterAutospacing="0"/>
        <w:jc w:val="both"/>
        <w:rPr>
          <w:color w:val="000000" w:themeColor="text1"/>
          <w:sz w:val="28"/>
          <w:szCs w:val="28"/>
        </w:rPr>
      </w:pPr>
      <w:r>
        <w:rPr>
          <w:color w:val="000000" w:themeColor="text1"/>
          <w:sz w:val="28"/>
          <w:szCs w:val="28"/>
        </w:rPr>
        <w:lastRenderedPageBreak/>
        <w:tab/>
      </w:r>
      <w:proofErr w:type="gramStart"/>
      <w:r>
        <w:rPr>
          <w:color w:val="000000" w:themeColor="text1"/>
          <w:sz w:val="28"/>
          <w:szCs w:val="28"/>
        </w:rPr>
        <w:t>Nghiên cứu, áp dụng các giải pháp công nghệ phù hợp nhằm hỗ trợ người dân tra cứu văn bản, tìm hiểu thủ tục hành chính và tiếp cận thông tin pháp luật chính xác, thuận tiện.</w:t>
      </w:r>
      <w:proofErr w:type="gramEnd"/>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Chú trọng đánh giá hiệu quả truyền thông số trên cơ sở dữ liệu thực tế, bảo đảm </w:t>
      </w:r>
      <w:proofErr w:type="gramStart"/>
      <w:r>
        <w:rPr>
          <w:color w:val="000000" w:themeColor="text1"/>
          <w:sz w:val="28"/>
          <w:szCs w:val="28"/>
        </w:rPr>
        <w:t>an</w:t>
      </w:r>
      <w:proofErr w:type="gramEnd"/>
      <w:r>
        <w:rPr>
          <w:color w:val="000000" w:themeColor="text1"/>
          <w:sz w:val="28"/>
          <w:szCs w:val="28"/>
        </w:rPr>
        <w:t xml:space="preserve"> toàn thông tin, bảo vệ dữ liệu cá nhân và chất lượng nội dung pháp luật.</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 xml:space="preserve">4. Nâng cao chất lượng đội </w:t>
      </w:r>
      <w:proofErr w:type="gramStart"/>
      <w:r>
        <w:rPr>
          <w:rStyle w:val="Strong"/>
          <w:color w:val="000000" w:themeColor="text1"/>
          <w:sz w:val="28"/>
          <w:szCs w:val="28"/>
        </w:rPr>
        <w:t>ngũ</w:t>
      </w:r>
      <w:proofErr w:type="gramEnd"/>
      <w:r>
        <w:rPr>
          <w:rStyle w:val="Strong"/>
          <w:color w:val="000000" w:themeColor="text1"/>
          <w:sz w:val="28"/>
          <w:szCs w:val="28"/>
        </w:rPr>
        <w:t xml:space="preserve"> thực hiện công tác PBGDPL</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Rà soát, củng cố đội </w:t>
      </w:r>
      <w:proofErr w:type="gramStart"/>
      <w:r>
        <w:rPr>
          <w:color w:val="000000" w:themeColor="text1"/>
          <w:sz w:val="28"/>
          <w:szCs w:val="28"/>
        </w:rPr>
        <w:t>ngũ</w:t>
      </w:r>
      <w:proofErr w:type="gramEnd"/>
      <w:r>
        <w:rPr>
          <w:color w:val="000000" w:themeColor="text1"/>
          <w:sz w:val="28"/>
          <w:szCs w:val="28"/>
        </w:rPr>
        <w:t xml:space="preserve"> tuyên truyền viên pháp luật và hòa giải viên; tổ chức hoặc đề xuất tổ chức tập huấn, bồi dưỡng kiến thức pháp luật, kỹ năng tuyên truyền, kỹ năng hòa giải và kỹ năng xử lý tình huống phát sinh tại cơ sở.</w:t>
      </w:r>
    </w:p>
    <w:p>
      <w:pPr>
        <w:pStyle w:val="NormalWeb"/>
        <w:spacing w:before="0" w:beforeAutospacing="0" w:after="120" w:afterAutospacing="0"/>
        <w:jc w:val="both"/>
        <w:rPr>
          <w:color w:val="000000" w:themeColor="text1"/>
          <w:sz w:val="28"/>
          <w:szCs w:val="28"/>
        </w:rPr>
      </w:pPr>
      <w:r>
        <w:rPr>
          <w:color w:val="000000" w:themeColor="text1"/>
          <w:sz w:val="28"/>
          <w:szCs w:val="28"/>
        </w:rPr>
        <w:tab/>
      </w:r>
      <w:proofErr w:type="gramStart"/>
      <w:r>
        <w:rPr>
          <w:color w:val="000000" w:themeColor="text1"/>
          <w:sz w:val="28"/>
          <w:szCs w:val="28"/>
        </w:rPr>
        <w:t>Phát huy vai trò của trưởng thôn, cán bộ đoàn thể và những người có uy tín trong cộng đồng trong tuyên truyền, vận động Nhân dân chấp hành pháp luật.</w:t>
      </w:r>
      <w:proofErr w:type="gramEnd"/>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5. Nâng cao hiệu quả công tác hòa giải ở cơ sở</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Tiếp tục củng cố tổ hòa giải, nâng cao chất lượng hoạt động của hòa giải viên; kịp thời tiếp nhận, hòa giải những mâu thuẫn, tranh chấp thuộc phạm </w:t>
      </w:r>
      <w:proofErr w:type="gramStart"/>
      <w:r>
        <w:rPr>
          <w:color w:val="000000" w:themeColor="text1"/>
          <w:sz w:val="28"/>
          <w:szCs w:val="28"/>
        </w:rPr>
        <w:t>vi</w:t>
      </w:r>
      <w:proofErr w:type="gramEnd"/>
      <w:r>
        <w:rPr>
          <w:color w:val="000000" w:themeColor="text1"/>
          <w:sz w:val="28"/>
          <w:szCs w:val="28"/>
        </w:rPr>
        <w:t xml:space="preserve"> hòa giải ở cơ sở.</w:t>
      </w:r>
    </w:p>
    <w:p>
      <w:pPr>
        <w:pStyle w:val="NormalWeb"/>
        <w:spacing w:before="0" w:beforeAutospacing="0" w:after="120" w:afterAutospacing="0"/>
        <w:jc w:val="both"/>
        <w:rPr>
          <w:color w:val="000000" w:themeColor="text1"/>
          <w:sz w:val="28"/>
          <w:szCs w:val="28"/>
        </w:rPr>
      </w:pPr>
      <w:r>
        <w:rPr>
          <w:color w:val="000000" w:themeColor="text1"/>
          <w:sz w:val="28"/>
          <w:szCs w:val="28"/>
        </w:rPr>
        <w:tab/>
        <w:t xml:space="preserve">Tăng cường hướng dẫn nghiệp vụ, </w:t>
      </w:r>
      <w:proofErr w:type="gramStart"/>
      <w:r>
        <w:rPr>
          <w:color w:val="000000" w:themeColor="text1"/>
          <w:sz w:val="28"/>
          <w:szCs w:val="28"/>
        </w:rPr>
        <w:t>theo</w:t>
      </w:r>
      <w:proofErr w:type="gramEnd"/>
      <w:r>
        <w:rPr>
          <w:color w:val="000000" w:themeColor="text1"/>
          <w:sz w:val="28"/>
          <w:szCs w:val="28"/>
        </w:rPr>
        <w:t xml:space="preserve"> dõi kết quả hòa giải, tổng hợp những dạng tranh chấp thường phát sinh để phục vụ công tác tuyên truyền, phòng ngừa vi phạm pháp luật.</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6. Bảo đảm nguồn lực và tăng cường phối hợp</w:t>
      </w:r>
    </w:p>
    <w:p>
      <w:pPr>
        <w:pStyle w:val="NormalWeb"/>
        <w:spacing w:before="0" w:beforeAutospacing="0" w:after="120" w:afterAutospacing="0"/>
        <w:jc w:val="both"/>
        <w:rPr>
          <w:color w:val="000000" w:themeColor="text1"/>
          <w:sz w:val="28"/>
          <w:szCs w:val="28"/>
        </w:rPr>
      </w:pPr>
      <w:r>
        <w:rPr>
          <w:color w:val="000000" w:themeColor="text1"/>
          <w:sz w:val="28"/>
          <w:szCs w:val="28"/>
        </w:rPr>
        <w:tab/>
        <w:t>Chủ động tham mưu bố trí kinh phí theo quy định; khai thác, sử dụng hiệu quả các nguồn lực được giao; tăng cường phối hợp với các tổ chức chính trị - xã hội, cơ quan, đơn vị và cộng đồng dân cư trong thực hiện nhiệm vụ PBGDPL.</w:t>
      </w:r>
    </w:p>
    <w:p>
      <w:pPr>
        <w:pStyle w:val="NormalWeb"/>
        <w:spacing w:before="0" w:beforeAutospacing="0" w:after="120" w:afterAutospacing="0"/>
        <w:jc w:val="both"/>
        <w:rPr>
          <w:color w:val="000000" w:themeColor="text1"/>
          <w:sz w:val="28"/>
          <w:szCs w:val="28"/>
        </w:rPr>
      </w:pPr>
      <w:r>
        <w:rPr>
          <w:color w:val="000000" w:themeColor="text1"/>
          <w:sz w:val="28"/>
          <w:szCs w:val="28"/>
        </w:rPr>
        <w:tab/>
        <w:t>Thực hiện nghiêm chế độ thông tin, thống kê, báo cáo; tăng cường kiểm tra, đánh giá kết quả và kịp thời đề xuất giải pháp tháo gỡ khó khăn, vướng mắc phát sinh.</w:t>
      </w:r>
    </w:p>
    <w:p>
      <w:pPr>
        <w:pStyle w:val="Heading1"/>
        <w:spacing w:after="120"/>
        <w:jc w:val="both"/>
        <w:rPr>
          <w:rFonts w:ascii="Times New Roman" w:hAnsi="Times New Roman"/>
          <w:color w:val="000000" w:themeColor="text1"/>
          <w:sz w:val="26"/>
          <w:szCs w:val="28"/>
        </w:rPr>
      </w:pPr>
      <w:r>
        <w:rPr>
          <w:rFonts w:ascii="Times New Roman" w:hAnsi="Times New Roman"/>
          <w:color w:val="000000" w:themeColor="text1"/>
          <w:sz w:val="26"/>
          <w:szCs w:val="28"/>
        </w:rPr>
        <w:tab/>
        <w:t>V. ĐỀ XUẤT, KIẾN NGHỊ</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1. Đối với UBND tỉnh và cơ quan chuyên môn cấp tỉnh</w:t>
      </w:r>
    </w:p>
    <w:p>
      <w:pPr>
        <w:pStyle w:val="NormalWeb"/>
        <w:spacing w:before="0" w:beforeAutospacing="0" w:after="120" w:afterAutospacing="0"/>
        <w:jc w:val="both"/>
        <w:rPr>
          <w:color w:val="000000" w:themeColor="text1"/>
          <w:sz w:val="28"/>
          <w:szCs w:val="28"/>
        </w:rPr>
      </w:pPr>
      <w:r>
        <w:rPr>
          <w:color w:val="000000" w:themeColor="text1"/>
          <w:sz w:val="28"/>
          <w:szCs w:val="28"/>
        </w:rPr>
        <w:tab/>
        <w:t>Đề nghị tiếp tục quan tâm chỉ đạo, hướng dẫn chuyên môn, nghiệp vụ về công tác PBGDPL; cung cấp kịp thời tài liệu tuyên truyền, đề cương phổ biến các văn bản pháp luật mới và hướng dẫn triển khai những nhiệm vụ trọng tâm phù hợp với điều kiện thực tế ở cấp xã.</w:t>
      </w:r>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2. Đối với Sở Tư pháp và các cơ quan có liên quan</w:t>
      </w:r>
    </w:p>
    <w:p>
      <w:pPr>
        <w:pStyle w:val="NormalWeb"/>
        <w:spacing w:before="0" w:beforeAutospacing="0" w:after="120" w:afterAutospacing="0"/>
        <w:jc w:val="both"/>
        <w:rPr>
          <w:color w:val="000000" w:themeColor="text1"/>
          <w:sz w:val="28"/>
          <w:szCs w:val="28"/>
        </w:rPr>
      </w:pPr>
      <w:r>
        <w:rPr>
          <w:color w:val="000000" w:themeColor="text1"/>
          <w:sz w:val="28"/>
          <w:szCs w:val="28"/>
        </w:rPr>
        <w:tab/>
        <w:t>Đề nghị tăng cường tổ chức tập huấn, bồi dưỡng nghiệp vụ cho đội ngũ công chức tham mưu công tác tư pháp, tuyên truyền viên pháp luật và hòa giải viên; hướng dẫn xây dựng, duy trì và nhân rộng các mô hình PBGDPL hiệu quả.</w:t>
      </w:r>
    </w:p>
    <w:p>
      <w:pPr>
        <w:pStyle w:val="NormalWeb"/>
        <w:spacing w:before="0" w:beforeAutospacing="0" w:after="120" w:afterAutospacing="0"/>
        <w:jc w:val="both"/>
        <w:rPr>
          <w:color w:val="000000" w:themeColor="text1"/>
          <w:sz w:val="28"/>
          <w:szCs w:val="28"/>
        </w:rPr>
      </w:pPr>
      <w:r>
        <w:rPr>
          <w:color w:val="000000" w:themeColor="text1"/>
          <w:sz w:val="28"/>
          <w:szCs w:val="28"/>
        </w:rPr>
        <w:lastRenderedPageBreak/>
        <w:tab/>
      </w:r>
      <w:proofErr w:type="gramStart"/>
      <w:r>
        <w:rPr>
          <w:color w:val="000000" w:themeColor="text1"/>
          <w:sz w:val="28"/>
          <w:szCs w:val="28"/>
        </w:rPr>
        <w:t>Đề nghị quan tâm hướng dẫn việc ứng dụng công nghệ thông tin, chuyển đổi số trong PBGDPL; cung cấp các sản phẩm truyền thông số có chất lượng, thống nhất về nội dung và phù hợp với nhu cầu tuyên truyền tại cơ sở.</w:t>
      </w:r>
      <w:proofErr w:type="gramEnd"/>
    </w:p>
    <w:p>
      <w:pPr>
        <w:pStyle w:val="NormalWeb"/>
        <w:spacing w:before="0" w:beforeAutospacing="0" w:after="120" w:afterAutospacing="0"/>
        <w:jc w:val="both"/>
        <w:rPr>
          <w:color w:val="000000" w:themeColor="text1"/>
          <w:sz w:val="28"/>
          <w:szCs w:val="28"/>
        </w:rPr>
      </w:pPr>
      <w:r>
        <w:rPr>
          <w:rStyle w:val="Strong"/>
          <w:color w:val="000000" w:themeColor="text1"/>
          <w:sz w:val="28"/>
          <w:szCs w:val="28"/>
        </w:rPr>
        <w:tab/>
        <w:t>3. Về cơ chế phối hợp và hướng dẫn thực hiện</w:t>
      </w:r>
    </w:p>
    <w:p>
      <w:pPr>
        <w:pStyle w:val="NormalWeb"/>
        <w:spacing w:before="0" w:beforeAutospacing="0" w:after="120" w:afterAutospacing="0"/>
        <w:jc w:val="both"/>
        <w:rPr>
          <w:color w:val="000000" w:themeColor="text1"/>
          <w:sz w:val="28"/>
          <w:szCs w:val="28"/>
        </w:rPr>
      </w:pPr>
      <w:r>
        <w:rPr>
          <w:color w:val="000000" w:themeColor="text1"/>
          <w:sz w:val="28"/>
          <w:szCs w:val="28"/>
        </w:rPr>
        <w:tab/>
        <w:t>Đề nghị tiếp tục hoàn thiện hướng dẫn về chế độ thống kê, báo cáo, tiêu chí đánh giá hiệu quả PBGDPL và cơ chế phối hợp giữa các cơ quan, đơn vị, địa phương; bảo đảm việc triển khai nhiệm vụ được thống nhất, đồng bộ và phù hợp với mô hình chính quyền địa phương hai cấp.</w:t>
      </w:r>
    </w:p>
    <w:p>
      <w:pPr>
        <w:pStyle w:val="NormalWeb"/>
        <w:spacing w:before="0" w:beforeAutospacing="0" w:after="120" w:afterAutospacing="0"/>
        <w:jc w:val="both"/>
        <w:rPr>
          <w:color w:val="000000" w:themeColor="text1"/>
          <w:sz w:val="28"/>
          <w:szCs w:val="28"/>
        </w:rPr>
      </w:pPr>
      <w:r>
        <w:rPr>
          <w:color w:val="000000" w:themeColor="text1"/>
          <w:sz w:val="28"/>
          <w:szCs w:val="28"/>
        </w:rPr>
        <w:tab/>
        <w:t>Trên đây là Báo cáo kết quả công tác phổ biến, giáo dục pháp luật năm 2026 của UBND xã Sơn Tiến, thời gian từ ngày 01/01/2026 đến hết ngày 15/10/2026./.</w:t>
      </w:r>
    </w:p>
    <w:tbl>
      <w:tblPr>
        <w:tblW w:w="9180" w:type="dxa"/>
        <w:tblLook w:val="04A0" w:firstRow="1" w:lastRow="0" w:firstColumn="1" w:lastColumn="0" w:noHBand="0" w:noVBand="1"/>
      </w:tblPr>
      <w:tblGrid>
        <w:gridCol w:w="4361"/>
        <w:gridCol w:w="4819"/>
      </w:tblGrid>
      <w:tr>
        <w:tc>
          <w:tcPr>
            <w:tcW w:w="4361" w:type="dxa"/>
          </w:tcPr>
          <w:p>
            <w:pPr>
              <w:spacing w:before="0"/>
              <w:jc w:val="both"/>
              <w:rPr>
                <w:b/>
                <w:i/>
                <w:iCs/>
                <w:color w:val="000000" w:themeColor="text1"/>
                <w:lang w:val="es-MX"/>
              </w:rPr>
            </w:pPr>
            <w:r>
              <w:rPr>
                <w:b/>
                <w:i/>
                <w:iCs/>
                <w:color w:val="000000" w:themeColor="text1"/>
                <w:sz w:val="24"/>
                <w:lang w:val="es-MX"/>
              </w:rPr>
              <w:t>Nơi nhận:</w:t>
            </w:r>
          </w:p>
          <w:p>
            <w:pPr>
              <w:spacing w:before="0"/>
              <w:jc w:val="both"/>
              <w:rPr>
                <w:iCs/>
                <w:color w:val="000000" w:themeColor="text1"/>
                <w:sz w:val="22"/>
                <w:lang w:val="es-MX"/>
              </w:rPr>
            </w:pPr>
            <w:r>
              <w:rPr>
                <w:iCs/>
                <w:color w:val="000000" w:themeColor="text1"/>
                <w:sz w:val="22"/>
                <w:lang w:val="es-MX"/>
              </w:rPr>
              <w:t>- Như trên;</w:t>
            </w:r>
          </w:p>
          <w:p>
            <w:pPr>
              <w:spacing w:before="0"/>
              <w:jc w:val="both"/>
              <w:rPr>
                <w:iCs/>
                <w:color w:val="000000" w:themeColor="text1"/>
                <w:sz w:val="22"/>
                <w:lang w:val="es-MX"/>
              </w:rPr>
            </w:pPr>
            <w:r>
              <w:rPr>
                <w:iCs/>
                <w:color w:val="000000" w:themeColor="text1"/>
                <w:sz w:val="22"/>
                <w:lang w:val="es-MX"/>
              </w:rPr>
              <w:t>- Chủ tịch, các P</w:t>
            </w:r>
            <w:bookmarkStart w:id="0" w:name="_GoBack"/>
            <w:bookmarkEnd w:id="0"/>
            <w:r>
              <w:rPr>
                <w:iCs/>
                <w:color w:val="000000" w:themeColor="text1"/>
                <w:sz w:val="22"/>
                <w:lang w:val="es-MX"/>
              </w:rPr>
              <w:t>CT UBND xã;</w:t>
            </w:r>
          </w:p>
          <w:p>
            <w:pPr>
              <w:spacing w:before="0"/>
              <w:jc w:val="both"/>
              <w:rPr>
                <w:iCs/>
                <w:color w:val="000000" w:themeColor="text1"/>
                <w:sz w:val="22"/>
                <w:lang w:val="es-MX"/>
              </w:rPr>
            </w:pPr>
            <w:r>
              <w:rPr>
                <w:iCs/>
                <w:color w:val="000000" w:themeColor="text1"/>
                <w:sz w:val="22"/>
                <w:lang w:val="es-MX"/>
              </w:rPr>
              <w:t>- Các phòng, ban, ngành cấp xã;</w:t>
            </w:r>
          </w:p>
          <w:p>
            <w:pPr>
              <w:spacing w:before="0"/>
              <w:jc w:val="both"/>
              <w:rPr>
                <w:b/>
                <w:iCs/>
                <w:color w:val="000000" w:themeColor="text1"/>
                <w:lang w:val="es-MX"/>
              </w:rPr>
            </w:pPr>
            <w:r>
              <w:rPr>
                <w:iCs/>
                <w:color w:val="000000" w:themeColor="text1"/>
                <w:sz w:val="22"/>
                <w:lang w:val="es-MX"/>
              </w:rPr>
              <w:t>- Lưu: VT.</w:t>
            </w:r>
          </w:p>
        </w:tc>
        <w:tc>
          <w:tcPr>
            <w:tcW w:w="4819" w:type="dxa"/>
          </w:tcPr>
          <w:p>
            <w:pPr>
              <w:pStyle w:val="Heading1"/>
              <w:rPr>
                <w:rFonts w:ascii="Times New Roman" w:hAnsi="Times New Roman"/>
                <w:color w:val="000000" w:themeColor="text1"/>
                <w:sz w:val="26"/>
                <w:szCs w:val="26"/>
              </w:rPr>
            </w:pPr>
            <w:proofErr w:type="gramStart"/>
            <w:r>
              <w:rPr>
                <w:rFonts w:ascii="Times New Roman" w:hAnsi="Times New Roman"/>
                <w:color w:val="000000" w:themeColor="text1"/>
                <w:sz w:val="26"/>
                <w:szCs w:val="26"/>
              </w:rPr>
              <w:t>TM.</w:t>
            </w:r>
            <w:proofErr w:type="gramEnd"/>
            <w:r>
              <w:rPr>
                <w:rFonts w:ascii="Times New Roman" w:hAnsi="Times New Roman"/>
                <w:color w:val="000000" w:themeColor="text1"/>
                <w:sz w:val="26"/>
                <w:szCs w:val="26"/>
              </w:rPr>
              <w:t xml:space="preserve"> ỦY BAN NHÂN DÂN</w:t>
            </w:r>
          </w:p>
          <w:p>
            <w:pPr>
              <w:pStyle w:val="Heading1"/>
              <w:rPr>
                <w:rFonts w:ascii="Times New Roman" w:hAnsi="Times New Roman"/>
                <w:color w:val="000000" w:themeColor="text1"/>
                <w:sz w:val="26"/>
                <w:szCs w:val="26"/>
              </w:rPr>
            </w:pPr>
            <w:r>
              <w:rPr>
                <w:rFonts w:ascii="Times New Roman" w:hAnsi="Times New Roman"/>
                <w:color w:val="000000" w:themeColor="text1"/>
                <w:sz w:val="26"/>
                <w:szCs w:val="26"/>
              </w:rPr>
              <w:t>KT. CHỦ TỊCH</w:t>
            </w:r>
          </w:p>
          <w:p>
            <w:pPr>
              <w:spacing w:before="0"/>
              <w:rPr>
                <w:b/>
                <w:color w:val="000000" w:themeColor="text1"/>
                <w:sz w:val="26"/>
                <w:szCs w:val="26"/>
              </w:rPr>
            </w:pPr>
            <w:r>
              <w:rPr>
                <w:b/>
                <w:color w:val="000000" w:themeColor="text1"/>
                <w:sz w:val="26"/>
                <w:szCs w:val="26"/>
              </w:rPr>
              <w:t>PHÓ CHỦ TỊCH</w:t>
            </w:r>
          </w:p>
          <w:p>
            <w:pPr>
              <w:spacing w:before="0"/>
              <w:rPr>
                <w:b/>
                <w:color w:val="000000" w:themeColor="text1"/>
                <w:sz w:val="26"/>
              </w:rPr>
            </w:pPr>
          </w:p>
          <w:p>
            <w:pPr>
              <w:spacing w:before="0"/>
              <w:rPr>
                <w:b/>
                <w:color w:val="000000" w:themeColor="text1"/>
                <w:sz w:val="26"/>
              </w:rPr>
            </w:pPr>
          </w:p>
          <w:p>
            <w:pPr>
              <w:spacing w:before="0"/>
              <w:jc w:val="both"/>
              <w:rPr>
                <w:b/>
                <w:color w:val="000000" w:themeColor="text1"/>
                <w:sz w:val="16"/>
                <w:szCs w:val="16"/>
              </w:rPr>
            </w:pPr>
          </w:p>
          <w:p>
            <w:pPr>
              <w:spacing w:before="0"/>
              <w:jc w:val="both"/>
              <w:rPr>
                <w:b/>
                <w:color w:val="000000" w:themeColor="text1"/>
                <w:sz w:val="16"/>
                <w:szCs w:val="16"/>
              </w:rPr>
            </w:pPr>
          </w:p>
          <w:p>
            <w:pPr>
              <w:spacing w:before="0"/>
              <w:jc w:val="both"/>
              <w:rPr>
                <w:b/>
                <w:color w:val="000000" w:themeColor="text1"/>
                <w:sz w:val="16"/>
                <w:szCs w:val="16"/>
              </w:rPr>
            </w:pPr>
          </w:p>
          <w:p>
            <w:pPr>
              <w:spacing w:before="0"/>
              <w:rPr>
                <w:b/>
                <w:color w:val="000000" w:themeColor="text1"/>
                <w:sz w:val="26"/>
              </w:rPr>
            </w:pPr>
          </w:p>
          <w:p>
            <w:pPr>
              <w:spacing w:before="0"/>
              <w:rPr>
                <w:b/>
                <w:color w:val="000000" w:themeColor="text1"/>
                <w:szCs w:val="28"/>
                <w:lang w:val="vi-VN"/>
              </w:rPr>
            </w:pPr>
            <w:r>
              <w:rPr>
                <w:b/>
                <w:color w:val="000000" w:themeColor="text1"/>
                <w:szCs w:val="28"/>
              </w:rPr>
              <w:t>Nguyễn</w:t>
            </w:r>
            <w:r>
              <w:rPr>
                <w:b/>
                <w:color w:val="000000" w:themeColor="text1"/>
                <w:szCs w:val="28"/>
                <w:lang w:val="vi-VN"/>
              </w:rPr>
              <w:t xml:space="preserve"> Văn Duẫn</w:t>
            </w:r>
          </w:p>
        </w:tc>
      </w:tr>
    </w:tbl>
    <w:p>
      <w:pPr>
        <w:rPr>
          <w:color w:val="000000" w:themeColor="text1"/>
        </w:rPr>
      </w:pPr>
    </w:p>
    <w:sectPr>
      <w:headerReference w:type="default" r:id="rId13"/>
      <w:pgSz w:w="11906" w:h="16838"/>
      <w:pgMar w:top="1021" w:right="1134" w:bottom="1021" w:left="170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pPr>
      <w:r>
        <w:separator/>
      </w:r>
    </w:p>
  </w:footnote>
  <w:footnote w:type="continuationSeparator" w:id="0">
    <w:p>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73005501"/>
      <w:docPartObj>
        <w:docPartGallery w:val="AutoText"/>
      </w:docPartObj>
    </w:sdtPr>
    <w:sdtContent>
      <w:p>
        <w:pPr>
          <w:pStyle w:val="Header"/>
        </w:pPr>
        <w:r>
          <w:fldChar w:fldCharType="begin"/>
        </w:r>
        <w:r>
          <w:instrText xml:space="preserve"> PAGE   \* MERGEFORMAT </w:instrText>
        </w:r>
        <w:r>
          <w:fldChar w:fldCharType="separate"/>
        </w:r>
        <w:r>
          <w:rPr>
            <w:noProof/>
          </w:rPr>
          <w:t>11</w:t>
        </w:r>
        <w:r>
          <w:fldChar w:fldCharType="end"/>
        </w:r>
      </w:p>
    </w:sdtContent>
  </w:sdt>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36E6A"/>
    <w:multiLevelType w:val="multilevel"/>
    <w:tmpl w:val="2A489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9D0955"/>
    <w:multiLevelType w:val="multilevel"/>
    <w:tmpl w:val="7E9E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1E6A20"/>
    <w:multiLevelType w:val="multilevel"/>
    <w:tmpl w:val="37D07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597645"/>
    <w:multiLevelType w:val="multilevel"/>
    <w:tmpl w:val="F8F0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6D7B77"/>
    <w:multiLevelType w:val="multilevel"/>
    <w:tmpl w:val="96282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87481E"/>
    <w:multiLevelType w:val="multilevel"/>
    <w:tmpl w:val="BA665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C115FCF"/>
    <w:multiLevelType w:val="multilevel"/>
    <w:tmpl w:val="83643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C897390"/>
    <w:multiLevelType w:val="multilevel"/>
    <w:tmpl w:val="4696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F1A59A8"/>
    <w:multiLevelType w:val="multilevel"/>
    <w:tmpl w:val="7446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0564B84"/>
    <w:multiLevelType w:val="multilevel"/>
    <w:tmpl w:val="8E583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A901F27"/>
    <w:multiLevelType w:val="multilevel"/>
    <w:tmpl w:val="A4222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95074F"/>
    <w:multiLevelType w:val="multilevel"/>
    <w:tmpl w:val="0C6E3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B20A40"/>
    <w:multiLevelType w:val="multilevel"/>
    <w:tmpl w:val="D4B6E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7845B99"/>
    <w:multiLevelType w:val="multilevel"/>
    <w:tmpl w:val="A9523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0"/>
  </w:num>
  <w:num w:numId="4">
    <w:abstractNumId w:val="3"/>
  </w:num>
  <w:num w:numId="5">
    <w:abstractNumId w:val="13"/>
  </w:num>
  <w:num w:numId="6">
    <w:abstractNumId w:val="2"/>
  </w:num>
  <w:num w:numId="7">
    <w:abstractNumId w:val="9"/>
  </w:num>
  <w:num w:numId="8">
    <w:abstractNumId w:val="7"/>
  </w:num>
  <w:num w:numId="9">
    <w:abstractNumId w:val="5"/>
  </w:num>
  <w:num w:numId="10">
    <w:abstractNumId w:val="8"/>
  </w:num>
  <w:num w:numId="11">
    <w:abstractNumId w:val="0"/>
  </w:num>
  <w:num w:numId="12">
    <w:abstractNumId w:val="6"/>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center"/>
    </w:pPr>
    <w:rPr>
      <w:rFonts w:ascii="Times New Roman" w:eastAsia="Arial" w:hAnsi="Times New Roman" w:cs="Times New Roman"/>
      <w:sz w:val="28"/>
      <w:szCs w:val="22"/>
      <w:lang w:eastAsia="en-US"/>
    </w:rPr>
  </w:style>
  <w:style w:type="paragraph" w:styleId="Heading1">
    <w:name w:val="heading 1"/>
    <w:basedOn w:val="Normal"/>
    <w:next w:val="Normal"/>
    <w:link w:val="Heading1Char"/>
    <w:qFormat/>
    <w:pPr>
      <w:keepNext/>
      <w:spacing w:before="0"/>
      <w:outlineLvl w:val="0"/>
    </w:pPr>
    <w:rPr>
      <w:rFonts w:ascii=".VnTime" w:eastAsia="Times New Roman" w:hAnsi=".VnTime"/>
      <w:b/>
      <w:bCs/>
      <w:szCs w:val="24"/>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before="0"/>
    </w:pPr>
  </w:style>
  <w:style w:type="paragraph" w:styleId="Header">
    <w:name w:val="header"/>
    <w:basedOn w:val="Normal"/>
    <w:link w:val="HeaderChar"/>
    <w:uiPriority w:val="99"/>
    <w:unhideWhenUsed/>
    <w:qFormat/>
    <w:pPr>
      <w:tabs>
        <w:tab w:val="center" w:pos="4680"/>
        <w:tab w:val="right" w:pos="9360"/>
      </w:tabs>
      <w:spacing w:before="0"/>
    </w:pPr>
  </w:style>
  <w:style w:type="paragraph" w:styleId="NormalWeb">
    <w:name w:val="Normal (Web)"/>
    <w:basedOn w:val="Normal"/>
    <w:uiPriority w:val="99"/>
    <w:unhideWhenUsed/>
    <w:qFormat/>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qFormat/>
    <w:rPr>
      <w:rFonts w:ascii=".VnTime" w:eastAsia="Times New Roman" w:hAnsi=".VnTime" w:cs="Times New Roman"/>
      <w:b/>
      <w:bCs/>
      <w:sz w:val="28"/>
      <w:szCs w:val="24"/>
    </w:rPr>
  </w:style>
  <w:style w:type="character" w:customStyle="1" w:styleId="HeaderChar">
    <w:name w:val="Header Char"/>
    <w:basedOn w:val="DefaultParagraphFont"/>
    <w:link w:val="Header"/>
    <w:uiPriority w:val="99"/>
    <w:qFormat/>
    <w:rPr>
      <w:rFonts w:ascii="Times New Roman" w:eastAsia="Arial" w:hAnsi="Times New Roman" w:cs="Times New Roman"/>
      <w:sz w:val="28"/>
    </w:rPr>
  </w:style>
  <w:style w:type="character" w:customStyle="1" w:styleId="FooterChar">
    <w:name w:val="Footer Char"/>
    <w:basedOn w:val="DefaultParagraphFont"/>
    <w:link w:val="Footer"/>
    <w:uiPriority w:val="99"/>
    <w:rPr>
      <w:rFonts w:ascii="Times New Roman" w:eastAsia="Arial" w:hAnsi="Times New Roman" w:cs="Times New Roman"/>
      <w:sz w:val="28"/>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5B9BD5" w:themeColor="accent1"/>
      <w:sz w:val="28"/>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before="0"/>
    </w:pPr>
    <w:rPr>
      <w:sz w:val="20"/>
      <w:szCs w:val="20"/>
    </w:rPr>
  </w:style>
  <w:style w:type="character" w:customStyle="1" w:styleId="FootnoteTextChar">
    <w:name w:val="Footnote Text Char"/>
    <w:basedOn w:val="DefaultParagraphFont"/>
    <w:link w:val="FootnoteText"/>
    <w:uiPriority w:val="99"/>
    <w:semiHidden/>
    <w:rPr>
      <w:rFonts w:ascii="Times New Roman" w:eastAsia="Arial" w:hAnsi="Times New Roman" w:cs="Times New Roman"/>
      <w:lang w:eastAsia="en-US"/>
    </w:rPr>
  </w:style>
  <w:style w:type="character" w:styleId="FootnoteReference">
    <w:name w:val="footnote reference"/>
    <w:basedOn w:val="DefaultParagraphFont"/>
    <w:uiPriority w:val="99"/>
    <w:semiHidden/>
    <w:unhideWhenUsed/>
    <w:rPr>
      <w:vertAlign w:val="superscript"/>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jc w:val="center"/>
    </w:pPr>
    <w:rPr>
      <w:rFonts w:ascii="Times New Roman" w:eastAsia="Arial" w:hAnsi="Times New Roman" w:cs="Times New Roman"/>
      <w:sz w:val="28"/>
      <w:szCs w:val="22"/>
      <w:lang w:eastAsia="en-US"/>
    </w:rPr>
  </w:style>
  <w:style w:type="paragraph" w:styleId="Heading1">
    <w:name w:val="heading 1"/>
    <w:basedOn w:val="Normal"/>
    <w:next w:val="Normal"/>
    <w:link w:val="Heading1Char"/>
    <w:qFormat/>
    <w:pPr>
      <w:keepNext/>
      <w:spacing w:before="0"/>
      <w:outlineLvl w:val="0"/>
    </w:pPr>
    <w:rPr>
      <w:rFonts w:ascii=".VnTime" w:eastAsia="Times New Roman" w:hAnsi=".VnTime"/>
      <w:b/>
      <w:bCs/>
      <w:szCs w:val="24"/>
    </w:rPr>
  </w:style>
  <w:style w:type="paragraph" w:styleId="Heading2">
    <w:name w:val="heading 2"/>
    <w:basedOn w:val="Normal"/>
    <w:next w:val="Normal"/>
    <w:link w:val="Heading2Char"/>
    <w:uiPriority w:val="9"/>
    <w:semiHidden/>
    <w:unhideWhenUsed/>
    <w:qFormat/>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before="0"/>
    </w:pPr>
  </w:style>
  <w:style w:type="paragraph" w:styleId="Header">
    <w:name w:val="header"/>
    <w:basedOn w:val="Normal"/>
    <w:link w:val="HeaderChar"/>
    <w:uiPriority w:val="99"/>
    <w:unhideWhenUsed/>
    <w:qFormat/>
    <w:pPr>
      <w:tabs>
        <w:tab w:val="center" w:pos="4680"/>
        <w:tab w:val="right" w:pos="9360"/>
      </w:tabs>
      <w:spacing w:before="0"/>
    </w:pPr>
  </w:style>
  <w:style w:type="paragraph" w:styleId="NormalWeb">
    <w:name w:val="Normal (Web)"/>
    <w:basedOn w:val="Normal"/>
    <w:uiPriority w:val="99"/>
    <w:unhideWhenUsed/>
    <w:qFormat/>
    <w:pPr>
      <w:spacing w:before="100" w:beforeAutospacing="1" w:after="100" w:afterAutospacing="1"/>
      <w:jc w:val="left"/>
    </w:pPr>
    <w:rPr>
      <w:rFonts w:eastAsia="Times New Roman"/>
      <w:sz w:val="24"/>
      <w:szCs w:val="24"/>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qFormat/>
    <w:rPr>
      <w:rFonts w:ascii=".VnTime" w:eastAsia="Times New Roman" w:hAnsi=".VnTime" w:cs="Times New Roman"/>
      <w:b/>
      <w:bCs/>
      <w:sz w:val="28"/>
      <w:szCs w:val="24"/>
    </w:rPr>
  </w:style>
  <w:style w:type="character" w:customStyle="1" w:styleId="HeaderChar">
    <w:name w:val="Header Char"/>
    <w:basedOn w:val="DefaultParagraphFont"/>
    <w:link w:val="Header"/>
    <w:uiPriority w:val="99"/>
    <w:qFormat/>
    <w:rPr>
      <w:rFonts w:ascii="Times New Roman" w:eastAsia="Arial" w:hAnsi="Times New Roman" w:cs="Times New Roman"/>
      <w:sz w:val="28"/>
    </w:rPr>
  </w:style>
  <w:style w:type="character" w:customStyle="1" w:styleId="FooterChar">
    <w:name w:val="Footer Char"/>
    <w:basedOn w:val="DefaultParagraphFont"/>
    <w:link w:val="Footer"/>
    <w:uiPriority w:val="99"/>
    <w:rPr>
      <w:rFonts w:ascii="Times New Roman" w:eastAsia="Arial" w:hAnsi="Times New Roman" w:cs="Times New Roman"/>
      <w:sz w:val="28"/>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5B9BD5" w:themeColor="accent1"/>
      <w:sz w:val="28"/>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semiHidden/>
    <w:unhideWhenUsed/>
    <w:pPr>
      <w:spacing w:before="0"/>
    </w:pPr>
    <w:rPr>
      <w:sz w:val="20"/>
      <w:szCs w:val="20"/>
    </w:rPr>
  </w:style>
  <w:style w:type="character" w:customStyle="1" w:styleId="FootnoteTextChar">
    <w:name w:val="Footnote Text Char"/>
    <w:basedOn w:val="DefaultParagraphFont"/>
    <w:link w:val="FootnoteText"/>
    <w:uiPriority w:val="99"/>
    <w:semiHidden/>
    <w:rPr>
      <w:rFonts w:ascii="Times New Roman" w:eastAsia="Arial" w:hAnsi="Times New Roman" w:cs="Times New Roman"/>
      <w:lang w:eastAsia="en-US"/>
    </w:rPr>
  </w:style>
  <w:style w:type="character" w:styleId="FootnoteReference">
    <w:name w:val="footnote reference"/>
    <w:basedOn w:val="DefaultParagraphFont"/>
    <w:uiPriority w:val="99"/>
    <w:semiHidden/>
    <w:unhideWhenUsed/>
    <w:rPr>
      <w:vertAlign w:val="superscript"/>
    </w:rPr>
  </w:style>
  <w:style w:type="character" w:styleId="Emphasis">
    <w:name w:val="Emphasis"/>
    <w:basedOn w:val="DefaultParagraphFont"/>
    <w:uiPriority w:val="20"/>
    <w:qFormat/>
    <w:rPr>
      <w:i/>
      <w:iCs/>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lang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9982">
      <w:bodyDiv w:val="1"/>
      <w:marLeft w:val="0"/>
      <w:marRight w:val="0"/>
      <w:marTop w:val="0"/>
      <w:marBottom w:val="0"/>
      <w:divBdr>
        <w:top w:val="none" w:sz="0" w:space="0" w:color="auto"/>
        <w:left w:val="none" w:sz="0" w:space="0" w:color="auto"/>
        <w:bottom w:val="none" w:sz="0" w:space="0" w:color="auto"/>
        <w:right w:val="none" w:sz="0" w:space="0" w:color="auto"/>
      </w:divBdr>
    </w:div>
    <w:div w:id="47455928">
      <w:bodyDiv w:val="1"/>
      <w:marLeft w:val="0"/>
      <w:marRight w:val="0"/>
      <w:marTop w:val="0"/>
      <w:marBottom w:val="0"/>
      <w:divBdr>
        <w:top w:val="none" w:sz="0" w:space="0" w:color="auto"/>
        <w:left w:val="none" w:sz="0" w:space="0" w:color="auto"/>
        <w:bottom w:val="none" w:sz="0" w:space="0" w:color="auto"/>
        <w:right w:val="none" w:sz="0" w:space="0" w:color="auto"/>
      </w:divBdr>
    </w:div>
    <w:div w:id="501050134">
      <w:bodyDiv w:val="1"/>
      <w:marLeft w:val="0"/>
      <w:marRight w:val="0"/>
      <w:marTop w:val="0"/>
      <w:marBottom w:val="0"/>
      <w:divBdr>
        <w:top w:val="none" w:sz="0" w:space="0" w:color="auto"/>
        <w:left w:val="none" w:sz="0" w:space="0" w:color="auto"/>
        <w:bottom w:val="none" w:sz="0" w:space="0" w:color="auto"/>
        <w:right w:val="none" w:sz="0" w:space="0" w:color="auto"/>
      </w:divBdr>
    </w:div>
    <w:div w:id="727219390">
      <w:bodyDiv w:val="1"/>
      <w:marLeft w:val="0"/>
      <w:marRight w:val="0"/>
      <w:marTop w:val="0"/>
      <w:marBottom w:val="0"/>
      <w:divBdr>
        <w:top w:val="none" w:sz="0" w:space="0" w:color="auto"/>
        <w:left w:val="none" w:sz="0" w:space="0" w:color="auto"/>
        <w:bottom w:val="none" w:sz="0" w:space="0" w:color="auto"/>
        <w:right w:val="none" w:sz="0" w:space="0" w:color="auto"/>
      </w:divBdr>
    </w:div>
    <w:div w:id="759714638">
      <w:bodyDiv w:val="1"/>
      <w:marLeft w:val="0"/>
      <w:marRight w:val="0"/>
      <w:marTop w:val="0"/>
      <w:marBottom w:val="0"/>
      <w:divBdr>
        <w:top w:val="none" w:sz="0" w:space="0" w:color="auto"/>
        <w:left w:val="none" w:sz="0" w:space="0" w:color="auto"/>
        <w:bottom w:val="none" w:sz="0" w:space="0" w:color="auto"/>
        <w:right w:val="none" w:sz="0" w:space="0" w:color="auto"/>
      </w:divBdr>
    </w:div>
    <w:div w:id="769474340">
      <w:bodyDiv w:val="1"/>
      <w:marLeft w:val="0"/>
      <w:marRight w:val="0"/>
      <w:marTop w:val="0"/>
      <w:marBottom w:val="0"/>
      <w:divBdr>
        <w:top w:val="none" w:sz="0" w:space="0" w:color="auto"/>
        <w:left w:val="none" w:sz="0" w:space="0" w:color="auto"/>
        <w:bottom w:val="none" w:sz="0" w:space="0" w:color="auto"/>
        <w:right w:val="none" w:sz="0" w:space="0" w:color="auto"/>
      </w:divBdr>
    </w:div>
    <w:div w:id="770055307">
      <w:bodyDiv w:val="1"/>
      <w:marLeft w:val="0"/>
      <w:marRight w:val="0"/>
      <w:marTop w:val="0"/>
      <w:marBottom w:val="0"/>
      <w:divBdr>
        <w:top w:val="none" w:sz="0" w:space="0" w:color="auto"/>
        <w:left w:val="none" w:sz="0" w:space="0" w:color="auto"/>
        <w:bottom w:val="none" w:sz="0" w:space="0" w:color="auto"/>
        <w:right w:val="none" w:sz="0" w:space="0" w:color="auto"/>
      </w:divBdr>
    </w:div>
    <w:div w:id="934443315">
      <w:bodyDiv w:val="1"/>
      <w:marLeft w:val="0"/>
      <w:marRight w:val="0"/>
      <w:marTop w:val="0"/>
      <w:marBottom w:val="0"/>
      <w:divBdr>
        <w:top w:val="none" w:sz="0" w:space="0" w:color="auto"/>
        <w:left w:val="none" w:sz="0" w:space="0" w:color="auto"/>
        <w:bottom w:val="none" w:sz="0" w:space="0" w:color="auto"/>
        <w:right w:val="none" w:sz="0" w:space="0" w:color="auto"/>
      </w:divBdr>
    </w:div>
    <w:div w:id="1207331316">
      <w:bodyDiv w:val="1"/>
      <w:marLeft w:val="0"/>
      <w:marRight w:val="0"/>
      <w:marTop w:val="0"/>
      <w:marBottom w:val="0"/>
      <w:divBdr>
        <w:top w:val="none" w:sz="0" w:space="0" w:color="auto"/>
        <w:left w:val="none" w:sz="0" w:space="0" w:color="auto"/>
        <w:bottom w:val="none" w:sz="0" w:space="0" w:color="auto"/>
        <w:right w:val="none" w:sz="0" w:space="0" w:color="auto"/>
      </w:divBdr>
    </w:div>
    <w:div w:id="1233081795">
      <w:bodyDiv w:val="1"/>
      <w:marLeft w:val="0"/>
      <w:marRight w:val="0"/>
      <w:marTop w:val="0"/>
      <w:marBottom w:val="0"/>
      <w:divBdr>
        <w:top w:val="none" w:sz="0" w:space="0" w:color="auto"/>
        <w:left w:val="none" w:sz="0" w:space="0" w:color="auto"/>
        <w:bottom w:val="none" w:sz="0" w:space="0" w:color="auto"/>
        <w:right w:val="none" w:sz="0" w:space="0" w:color="auto"/>
      </w:divBdr>
    </w:div>
    <w:div w:id="1426074569">
      <w:bodyDiv w:val="1"/>
      <w:marLeft w:val="0"/>
      <w:marRight w:val="0"/>
      <w:marTop w:val="0"/>
      <w:marBottom w:val="0"/>
      <w:divBdr>
        <w:top w:val="none" w:sz="0" w:space="0" w:color="auto"/>
        <w:left w:val="none" w:sz="0" w:space="0" w:color="auto"/>
        <w:bottom w:val="none" w:sz="0" w:space="0" w:color="auto"/>
        <w:right w:val="none" w:sz="0" w:space="0" w:color="auto"/>
      </w:divBdr>
    </w:div>
    <w:div w:id="1487162422">
      <w:bodyDiv w:val="1"/>
      <w:marLeft w:val="0"/>
      <w:marRight w:val="0"/>
      <w:marTop w:val="0"/>
      <w:marBottom w:val="0"/>
      <w:divBdr>
        <w:top w:val="none" w:sz="0" w:space="0" w:color="auto"/>
        <w:left w:val="none" w:sz="0" w:space="0" w:color="auto"/>
        <w:bottom w:val="none" w:sz="0" w:space="0" w:color="auto"/>
        <w:right w:val="none" w:sz="0" w:space="0" w:color="auto"/>
      </w:divBdr>
    </w:div>
    <w:div w:id="1605769257">
      <w:bodyDiv w:val="1"/>
      <w:marLeft w:val="0"/>
      <w:marRight w:val="0"/>
      <w:marTop w:val="0"/>
      <w:marBottom w:val="0"/>
      <w:divBdr>
        <w:top w:val="none" w:sz="0" w:space="0" w:color="auto"/>
        <w:left w:val="none" w:sz="0" w:space="0" w:color="auto"/>
        <w:bottom w:val="none" w:sz="0" w:space="0" w:color="auto"/>
        <w:right w:val="none" w:sz="0" w:space="0" w:color="auto"/>
      </w:divBdr>
    </w:div>
    <w:div w:id="1871333955">
      <w:bodyDiv w:val="1"/>
      <w:marLeft w:val="0"/>
      <w:marRight w:val="0"/>
      <w:marTop w:val="0"/>
      <w:marBottom w:val="0"/>
      <w:divBdr>
        <w:top w:val="none" w:sz="0" w:space="0" w:color="auto"/>
        <w:left w:val="none" w:sz="0" w:space="0" w:color="auto"/>
        <w:bottom w:val="none" w:sz="0" w:space="0" w:color="auto"/>
        <w:right w:val="none" w:sz="0" w:space="0" w:color="auto"/>
      </w:divBdr>
    </w:div>
    <w:div w:id="1883712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E62970-13DF-41D5-A081-EC3EA9F322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7C66E90-A92C-4C4F-8CDA-533DE658E59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E4E926C-8BE2-47EA-A3CB-CD7EC2B67D77}">
  <ds:schemaRefs>
    <ds:schemaRef ds:uri="http://schemas.microsoft.com/sharepoint/v3/contenttype/forms"/>
  </ds:schemaRefs>
</ds:datastoreItem>
</file>

<file path=customXml/itemProps5.xml><?xml version="1.0" encoding="utf-8"?>
<ds:datastoreItem xmlns:ds="http://schemas.openxmlformats.org/officeDocument/2006/customXml" ds:itemID="{D2E0FEE1-E44B-4309-BFB3-4BF49A4D2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11</Pages>
  <Words>3634</Words>
  <Characters>20719</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7</cp:revision>
  <cp:lastPrinted>2025-10-07T00:53:00Z</cp:lastPrinted>
  <dcterms:created xsi:type="dcterms:W3CDTF">2026-10-18T08:58:00Z</dcterms:created>
  <dcterms:modified xsi:type="dcterms:W3CDTF">2026-10-19T06:55:00Z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1033-12.1.0.25180</vt:lpwstr>
  </property>
  <property fmtid="{D5CDD505-2E9C-101B-9397-08002B2CF9AE}" pid="3" name="ICV">
    <vt:lpwstr>BCB9CDCC99C04CF4848A698B6F7B8A7B_13</vt:lpwstr>
  </property>
</Properties>
</file>